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Title"/>
        <w:tag w:val="Title"/>
        <w:id w:val="-509987125"/>
        <w:lock w:val="sdtLocked"/>
        <w:placeholder>
          <w:docPart w:val="059E82C88A4943B5B71088A57D3981B9"/>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65A054C8" w14:textId="77777777" w:rsidR="00886C9D" w:rsidRPr="00886C9D" w:rsidRDefault="007F5BA6" w:rsidP="00886C9D">
          <w:pPr>
            <w:pStyle w:val="Title"/>
          </w:pPr>
          <w:r>
            <w:t>Review of Essential System Services in the Northern Territory’s Regulated Electricity Systems</w:t>
          </w:r>
        </w:p>
      </w:sdtContent>
    </w:sdt>
    <w:p w14:paraId="52E16674" w14:textId="77777777" w:rsidR="00AC1E7E" w:rsidRDefault="007F5BA6" w:rsidP="00E77ACA">
      <w:pPr>
        <w:pStyle w:val="Subtitle0"/>
      </w:pPr>
      <w:r>
        <w:t>Issues Paper</w:t>
      </w:r>
    </w:p>
    <w:p w14:paraId="2C245C44" w14:textId="77777777" w:rsidR="00AC1E7E" w:rsidRPr="00E77ACA" w:rsidRDefault="00AC1E7E" w:rsidP="00E77ACA">
      <w:pPr>
        <w:pStyle w:val="Subtitle0"/>
        <w:sectPr w:rsidR="00AC1E7E" w:rsidRPr="00E77ACA" w:rsidSect="00FA64B4">
          <w:headerReference w:type="default" r:id="rId9"/>
          <w:footerReference w:type="default" r:id="rId10"/>
          <w:headerReference w:type="first" r:id="rId11"/>
          <w:footerReference w:type="first" r:id="rId12"/>
          <w:pgSz w:w="11906" w:h="16838" w:code="9"/>
          <w:pgMar w:top="243" w:right="794" w:bottom="794" w:left="794" w:header="794" w:footer="794" w:gutter="0"/>
          <w:cols w:space="708"/>
          <w:titlePg/>
          <w:docGrid w:linePitch="360"/>
        </w:sectPr>
      </w:pPr>
      <w:r>
        <w:t>June 2020</w:t>
      </w:r>
    </w:p>
    <w:p w14:paraId="225F2C4F" w14:textId="6D7A006D" w:rsidR="00E56FB5" w:rsidRPr="00ED2F2C" w:rsidRDefault="00E56FB5" w:rsidP="00E56FB5">
      <w:r w:rsidRPr="00901DCB">
        <w:lastRenderedPageBreak/>
        <w:t xml:space="preserve">Published by the </w:t>
      </w:r>
      <w:r w:rsidR="00CE0480">
        <w:t>Northern Territory Government</w:t>
      </w:r>
      <w:r w:rsidRPr="00901DCB">
        <w:t>.</w:t>
      </w:r>
      <w:r w:rsidRPr="00ED2F2C">
        <w:t xml:space="preserve"> </w:t>
      </w:r>
      <w:r w:rsidRPr="00901DCB">
        <w:t xml:space="preserve">Apart from any use permitted under the </w:t>
      </w:r>
      <w:r w:rsidRPr="00901DCB">
        <w:rPr>
          <w:i/>
        </w:rPr>
        <w:t>Copyright Act</w:t>
      </w:r>
      <w:r w:rsidRPr="00901DCB">
        <w:t>, no part of this document may be reproduced without prior written permission from the Northern Territory Government through the Department of Trade, Business and Innovation.</w:t>
      </w:r>
    </w:p>
    <w:p w14:paraId="6F4C36FA" w14:textId="77777777" w:rsidR="00702D61" w:rsidRDefault="00702D61" w:rsidP="00702D61">
      <w:r>
        <w:br w:type="page"/>
      </w:r>
    </w:p>
    <w:sdt>
      <w:sdtPr>
        <w:rPr>
          <w:rFonts w:ascii="Lato" w:eastAsia="Calibri" w:hAnsi="Lato" w:cs="Times New Roman"/>
          <w:b/>
          <w:bCs w:val="0"/>
          <w:color w:val="auto"/>
          <w:sz w:val="22"/>
          <w:szCs w:val="22"/>
        </w:rPr>
        <w:id w:val="-88318220"/>
        <w:docPartObj>
          <w:docPartGallery w:val="Table of Contents"/>
          <w:docPartUnique/>
        </w:docPartObj>
      </w:sdtPr>
      <w:sdtEndPr>
        <w:rPr>
          <w:b w:val="0"/>
          <w:noProof/>
        </w:rPr>
      </w:sdtEndPr>
      <w:sdtContent>
        <w:p w14:paraId="59E5F7A6" w14:textId="77777777" w:rsidR="00964B22" w:rsidRPr="00422874" w:rsidRDefault="00964B22" w:rsidP="00F479D5">
          <w:pPr>
            <w:pStyle w:val="TOCHeading"/>
            <w:tabs>
              <w:tab w:val="left" w:pos="8601"/>
            </w:tabs>
            <w:rPr>
              <w:lang w:eastAsia="ja-JP"/>
            </w:rPr>
          </w:pPr>
          <w:r w:rsidRPr="00422874">
            <w:t>Contents</w:t>
          </w:r>
        </w:p>
        <w:p w14:paraId="0D60E02D" w14:textId="7200DEF2" w:rsidR="008E15D5" w:rsidRDefault="006747E0">
          <w:pPr>
            <w:pStyle w:val="TOC1"/>
            <w:rPr>
              <w:rFonts w:asciiTheme="minorHAnsi" w:eastAsiaTheme="minorEastAsia" w:hAnsiTheme="minorHAnsi" w:cstheme="minorBidi"/>
              <w:b w:val="0"/>
              <w:noProof/>
              <w:lang w:eastAsia="en-AU"/>
            </w:rPr>
          </w:pPr>
          <w:r>
            <w:rPr>
              <w:rFonts w:eastAsiaTheme="minorEastAsia" w:cs="Arial"/>
              <w:lang w:eastAsia="en-AU"/>
            </w:rPr>
            <w:fldChar w:fldCharType="begin"/>
          </w:r>
          <w:r>
            <w:rPr>
              <w:rFonts w:eastAsiaTheme="minorEastAsia" w:cs="Arial"/>
              <w:lang w:eastAsia="en-AU"/>
            </w:rPr>
            <w:instrText xml:space="preserve"> TOC \o "1-4" \h \z \u </w:instrText>
          </w:r>
          <w:r>
            <w:rPr>
              <w:rFonts w:eastAsiaTheme="minorEastAsia" w:cs="Arial"/>
              <w:lang w:eastAsia="en-AU"/>
            </w:rPr>
            <w:fldChar w:fldCharType="separate"/>
          </w:r>
          <w:hyperlink w:anchor="_Toc42779147" w:history="1">
            <w:r w:rsidR="008E15D5" w:rsidRPr="00AB0863">
              <w:rPr>
                <w:rStyle w:val="Hyperlink"/>
                <w:noProof/>
                <w:lang w:eastAsia="en-AU"/>
              </w:rPr>
              <w:t>1. Introduction</w:t>
            </w:r>
            <w:r w:rsidR="008E15D5">
              <w:rPr>
                <w:noProof/>
                <w:webHidden/>
              </w:rPr>
              <w:tab/>
            </w:r>
            <w:r w:rsidR="008E15D5">
              <w:rPr>
                <w:noProof/>
                <w:webHidden/>
              </w:rPr>
              <w:fldChar w:fldCharType="begin"/>
            </w:r>
            <w:r w:rsidR="008E15D5">
              <w:rPr>
                <w:noProof/>
                <w:webHidden/>
              </w:rPr>
              <w:instrText xml:space="preserve"> PAGEREF _Toc42779147 \h </w:instrText>
            </w:r>
            <w:r w:rsidR="008E15D5">
              <w:rPr>
                <w:noProof/>
                <w:webHidden/>
              </w:rPr>
            </w:r>
            <w:r w:rsidR="008E15D5">
              <w:rPr>
                <w:noProof/>
                <w:webHidden/>
              </w:rPr>
              <w:fldChar w:fldCharType="separate"/>
            </w:r>
            <w:r w:rsidR="00BE0579">
              <w:rPr>
                <w:noProof/>
                <w:webHidden/>
              </w:rPr>
              <w:t>4</w:t>
            </w:r>
            <w:r w:rsidR="008E15D5">
              <w:rPr>
                <w:noProof/>
                <w:webHidden/>
              </w:rPr>
              <w:fldChar w:fldCharType="end"/>
            </w:r>
          </w:hyperlink>
        </w:p>
        <w:p w14:paraId="5884E78D" w14:textId="56FDBA73" w:rsidR="008E15D5" w:rsidRDefault="005B6973">
          <w:pPr>
            <w:pStyle w:val="TOC2"/>
            <w:rPr>
              <w:rFonts w:asciiTheme="minorHAnsi" w:eastAsiaTheme="minorEastAsia" w:hAnsiTheme="minorHAnsi" w:cstheme="minorBidi"/>
              <w:noProof/>
              <w:lang w:eastAsia="en-AU"/>
            </w:rPr>
          </w:pPr>
          <w:hyperlink w:anchor="_Toc42779148" w:history="1">
            <w:r w:rsidR="008E15D5" w:rsidRPr="00AB0863">
              <w:rPr>
                <w:rStyle w:val="Hyperlink"/>
                <w:noProof/>
                <w:lang w:eastAsia="en-AU"/>
              </w:rPr>
              <w:t>1.1. Overview of current arrangements</w:t>
            </w:r>
            <w:r w:rsidR="008E15D5">
              <w:rPr>
                <w:noProof/>
                <w:webHidden/>
              </w:rPr>
              <w:tab/>
            </w:r>
            <w:r w:rsidR="008E15D5">
              <w:rPr>
                <w:noProof/>
                <w:webHidden/>
              </w:rPr>
              <w:fldChar w:fldCharType="begin"/>
            </w:r>
            <w:r w:rsidR="008E15D5">
              <w:rPr>
                <w:noProof/>
                <w:webHidden/>
              </w:rPr>
              <w:instrText xml:space="preserve"> PAGEREF _Toc42779148 \h </w:instrText>
            </w:r>
            <w:r w:rsidR="008E15D5">
              <w:rPr>
                <w:noProof/>
                <w:webHidden/>
              </w:rPr>
            </w:r>
            <w:r w:rsidR="008E15D5">
              <w:rPr>
                <w:noProof/>
                <w:webHidden/>
              </w:rPr>
              <w:fldChar w:fldCharType="separate"/>
            </w:r>
            <w:r w:rsidR="00BE0579">
              <w:rPr>
                <w:noProof/>
                <w:webHidden/>
              </w:rPr>
              <w:t>4</w:t>
            </w:r>
            <w:r w:rsidR="008E15D5">
              <w:rPr>
                <w:noProof/>
                <w:webHidden/>
              </w:rPr>
              <w:fldChar w:fldCharType="end"/>
            </w:r>
          </w:hyperlink>
        </w:p>
        <w:p w14:paraId="7DB3F7D1" w14:textId="63292FAD" w:rsidR="008E15D5" w:rsidRDefault="005B6973">
          <w:pPr>
            <w:pStyle w:val="TOC2"/>
            <w:rPr>
              <w:rFonts w:asciiTheme="minorHAnsi" w:eastAsiaTheme="minorEastAsia" w:hAnsiTheme="minorHAnsi" w:cstheme="minorBidi"/>
              <w:noProof/>
              <w:lang w:eastAsia="en-AU"/>
            </w:rPr>
          </w:pPr>
          <w:hyperlink w:anchor="_Toc42779149" w:history="1">
            <w:r w:rsidR="008E15D5" w:rsidRPr="00AB0863">
              <w:rPr>
                <w:rStyle w:val="Hyperlink"/>
                <w:noProof/>
                <w:lang w:eastAsia="en-AU"/>
              </w:rPr>
              <w:t>1.2. Review scope</w:t>
            </w:r>
            <w:r w:rsidR="008E15D5">
              <w:rPr>
                <w:noProof/>
                <w:webHidden/>
              </w:rPr>
              <w:tab/>
            </w:r>
            <w:r w:rsidR="008E15D5">
              <w:rPr>
                <w:noProof/>
                <w:webHidden/>
              </w:rPr>
              <w:fldChar w:fldCharType="begin"/>
            </w:r>
            <w:r w:rsidR="008E15D5">
              <w:rPr>
                <w:noProof/>
                <w:webHidden/>
              </w:rPr>
              <w:instrText xml:space="preserve"> PAGEREF _Toc42779149 \h </w:instrText>
            </w:r>
            <w:r w:rsidR="008E15D5">
              <w:rPr>
                <w:noProof/>
                <w:webHidden/>
              </w:rPr>
            </w:r>
            <w:r w:rsidR="008E15D5">
              <w:rPr>
                <w:noProof/>
                <w:webHidden/>
              </w:rPr>
              <w:fldChar w:fldCharType="separate"/>
            </w:r>
            <w:r w:rsidR="00BE0579">
              <w:rPr>
                <w:noProof/>
                <w:webHidden/>
              </w:rPr>
              <w:t>5</w:t>
            </w:r>
            <w:r w:rsidR="008E15D5">
              <w:rPr>
                <w:noProof/>
                <w:webHidden/>
              </w:rPr>
              <w:fldChar w:fldCharType="end"/>
            </w:r>
          </w:hyperlink>
        </w:p>
        <w:p w14:paraId="7C3706D5" w14:textId="20FCFBC7" w:rsidR="008E15D5" w:rsidRDefault="005B6973">
          <w:pPr>
            <w:pStyle w:val="TOC2"/>
            <w:rPr>
              <w:rFonts w:asciiTheme="minorHAnsi" w:eastAsiaTheme="minorEastAsia" w:hAnsiTheme="minorHAnsi" w:cstheme="minorBidi"/>
              <w:noProof/>
              <w:lang w:eastAsia="en-AU"/>
            </w:rPr>
          </w:pPr>
          <w:hyperlink w:anchor="_Toc42779150" w:history="1">
            <w:r w:rsidR="008E15D5" w:rsidRPr="00AB0863">
              <w:rPr>
                <w:rStyle w:val="Hyperlink"/>
                <w:noProof/>
                <w:lang w:eastAsia="en-AU"/>
              </w:rPr>
              <w:t>1.3. Background and context</w:t>
            </w:r>
            <w:r w:rsidR="008E15D5">
              <w:rPr>
                <w:noProof/>
                <w:webHidden/>
              </w:rPr>
              <w:tab/>
            </w:r>
            <w:r w:rsidR="008E15D5">
              <w:rPr>
                <w:noProof/>
                <w:webHidden/>
              </w:rPr>
              <w:fldChar w:fldCharType="begin"/>
            </w:r>
            <w:r w:rsidR="008E15D5">
              <w:rPr>
                <w:noProof/>
                <w:webHidden/>
              </w:rPr>
              <w:instrText xml:space="preserve"> PAGEREF _Toc42779150 \h </w:instrText>
            </w:r>
            <w:r w:rsidR="008E15D5">
              <w:rPr>
                <w:noProof/>
                <w:webHidden/>
              </w:rPr>
            </w:r>
            <w:r w:rsidR="008E15D5">
              <w:rPr>
                <w:noProof/>
                <w:webHidden/>
              </w:rPr>
              <w:fldChar w:fldCharType="separate"/>
            </w:r>
            <w:r w:rsidR="00BE0579">
              <w:rPr>
                <w:noProof/>
                <w:webHidden/>
              </w:rPr>
              <w:t>5</w:t>
            </w:r>
            <w:r w:rsidR="008E15D5">
              <w:rPr>
                <w:noProof/>
                <w:webHidden/>
              </w:rPr>
              <w:fldChar w:fldCharType="end"/>
            </w:r>
          </w:hyperlink>
        </w:p>
        <w:p w14:paraId="660E0799" w14:textId="1CA72207" w:rsidR="008E15D5" w:rsidRDefault="005B6973">
          <w:pPr>
            <w:pStyle w:val="TOC2"/>
            <w:rPr>
              <w:rFonts w:asciiTheme="minorHAnsi" w:eastAsiaTheme="minorEastAsia" w:hAnsiTheme="minorHAnsi" w:cstheme="minorBidi"/>
              <w:noProof/>
              <w:lang w:eastAsia="en-AU"/>
            </w:rPr>
          </w:pPr>
          <w:hyperlink w:anchor="_Toc42779151" w:history="1">
            <w:r w:rsidR="008E15D5" w:rsidRPr="00AB0863">
              <w:rPr>
                <w:rStyle w:val="Hyperlink"/>
                <w:noProof/>
                <w:lang w:eastAsia="en-AU"/>
              </w:rPr>
              <w:t>1.4. Review framework</w:t>
            </w:r>
            <w:r w:rsidR="008E15D5">
              <w:rPr>
                <w:noProof/>
                <w:webHidden/>
              </w:rPr>
              <w:tab/>
            </w:r>
            <w:r w:rsidR="008E15D5">
              <w:rPr>
                <w:noProof/>
                <w:webHidden/>
              </w:rPr>
              <w:fldChar w:fldCharType="begin"/>
            </w:r>
            <w:r w:rsidR="008E15D5">
              <w:rPr>
                <w:noProof/>
                <w:webHidden/>
              </w:rPr>
              <w:instrText xml:space="preserve"> PAGEREF _Toc42779151 \h </w:instrText>
            </w:r>
            <w:r w:rsidR="008E15D5">
              <w:rPr>
                <w:noProof/>
                <w:webHidden/>
              </w:rPr>
            </w:r>
            <w:r w:rsidR="008E15D5">
              <w:rPr>
                <w:noProof/>
                <w:webHidden/>
              </w:rPr>
              <w:fldChar w:fldCharType="separate"/>
            </w:r>
            <w:r w:rsidR="00BE0579">
              <w:rPr>
                <w:noProof/>
                <w:webHidden/>
              </w:rPr>
              <w:t>7</w:t>
            </w:r>
            <w:r w:rsidR="008E15D5">
              <w:rPr>
                <w:noProof/>
                <w:webHidden/>
              </w:rPr>
              <w:fldChar w:fldCharType="end"/>
            </w:r>
          </w:hyperlink>
        </w:p>
        <w:p w14:paraId="434659EA" w14:textId="1CCAD21D" w:rsidR="008E15D5" w:rsidRDefault="005B6973">
          <w:pPr>
            <w:pStyle w:val="TOC2"/>
            <w:rPr>
              <w:rFonts w:asciiTheme="minorHAnsi" w:eastAsiaTheme="minorEastAsia" w:hAnsiTheme="minorHAnsi" w:cstheme="minorBidi"/>
              <w:noProof/>
              <w:lang w:eastAsia="en-AU"/>
            </w:rPr>
          </w:pPr>
          <w:hyperlink w:anchor="_Toc42779152" w:history="1">
            <w:r w:rsidR="008E15D5" w:rsidRPr="00AB0863">
              <w:rPr>
                <w:rStyle w:val="Hyperlink"/>
                <w:noProof/>
                <w:lang w:eastAsia="en-AU"/>
              </w:rPr>
              <w:t>1.5. Stakeholder consultation and review timeframes</w:t>
            </w:r>
            <w:r w:rsidR="008E15D5">
              <w:rPr>
                <w:noProof/>
                <w:webHidden/>
              </w:rPr>
              <w:tab/>
            </w:r>
            <w:r w:rsidR="008E15D5">
              <w:rPr>
                <w:noProof/>
                <w:webHidden/>
              </w:rPr>
              <w:fldChar w:fldCharType="begin"/>
            </w:r>
            <w:r w:rsidR="008E15D5">
              <w:rPr>
                <w:noProof/>
                <w:webHidden/>
              </w:rPr>
              <w:instrText xml:space="preserve"> PAGEREF _Toc42779152 \h </w:instrText>
            </w:r>
            <w:r w:rsidR="008E15D5">
              <w:rPr>
                <w:noProof/>
                <w:webHidden/>
              </w:rPr>
            </w:r>
            <w:r w:rsidR="008E15D5">
              <w:rPr>
                <w:noProof/>
                <w:webHidden/>
              </w:rPr>
              <w:fldChar w:fldCharType="separate"/>
            </w:r>
            <w:r w:rsidR="00BE0579">
              <w:rPr>
                <w:noProof/>
                <w:webHidden/>
              </w:rPr>
              <w:t>7</w:t>
            </w:r>
            <w:r w:rsidR="008E15D5">
              <w:rPr>
                <w:noProof/>
                <w:webHidden/>
              </w:rPr>
              <w:fldChar w:fldCharType="end"/>
            </w:r>
          </w:hyperlink>
        </w:p>
        <w:p w14:paraId="7CF43DF8" w14:textId="357396AC" w:rsidR="008E15D5" w:rsidRDefault="005B6973">
          <w:pPr>
            <w:pStyle w:val="TOC1"/>
            <w:rPr>
              <w:rFonts w:asciiTheme="minorHAnsi" w:eastAsiaTheme="minorEastAsia" w:hAnsiTheme="minorHAnsi" w:cstheme="minorBidi"/>
              <w:b w:val="0"/>
              <w:noProof/>
              <w:lang w:eastAsia="en-AU"/>
            </w:rPr>
          </w:pPr>
          <w:hyperlink w:anchor="_Toc42779153" w:history="1">
            <w:r w:rsidR="008E15D5" w:rsidRPr="00AB0863">
              <w:rPr>
                <w:rStyle w:val="Hyperlink"/>
                <w:noProof/>
                <w:lang w:eastAsia="en-AU"/>
              </w:rPr>
              <w:t>2. Categorisation and definition of services</w:t>
            </w:r>
            <w:r w:rsidR="008E15D5">
              <w:rPr>
                <w:noProof/>
                <w:webHidden/>
              </w:rPr>
              <w:tab/>
            </w:r>
            <w:r w:rsidR="008E15D5">
              <w:rPr>
                <w:noProof/>
                <w:webHidden/>
              </w:rPr>
              <w:fldChar w:fldCharType="begin"/>
            </w:r>
            <w:r w:rsidR="008E15D5">
              <w:rPr>
                <w:noProof/>
                <w:webHidden/>
              </w:rPr>
              <w:instrText xml:space="preserve"> PAGEREF _Toc42779153 \h </w:instrText>
            </w:r>
            <w:r w:rsidR="008E15D5">
              <w:rPr>
                <w:noProof/>
                <w:webHidden/>
              </w:rPr>
            </w:r>
            <w:r w:rsidR="008E15D5">
              <w:rPr>
                <w:noProof/>
                <w:webHidden/>
              </w:rPr>
              <w:fldChar w:fldCharType="separate"/>
            </w:r>
            <w:r w:rsidR="00BE0579">
              <w:rPr>
                <w:noProof/>
                <w:webHidden/>
              </w:rPr>
              <w:t>9</w:t>
            </w:r>
            <w:r w:rsidR="008E15D5">
              <w:rPr>
                <w:noProof/>
                <w:webHidden/>
              </w:rPr>
              <w:fldChar w:fldCharType="end"/>
            </w:r>
          </w:hyperlink>
        </w:p>
        <w:p w14:paraId="40FA5CBD" w14:textId="123D9C13" w:rsidR="008E15D5" w:rsidRDefault="005B6973">
          <w:pPr>
            <w:pStyle w:val="TOC2"/>
            <w:rPr>
              <w:rFonts w:asciiTheme="minorHAnsi" w:eastAsiaTheme="minorEastAsia" w:hAnsiTheme="minorHAnsi" w:cstheme="minorBidi"/>
              <w:noProof/>
              <w:lang w:eastAsia="en-AU"/>
            </w:rPr>
          </w:pPr>
          <w:hyperlink w:anchor="_Toc42779154" w:history="1">
            <w:r w:rsidR="008E15D5" w:rsidRPr="00AB0863">
              <w:rPr>
                <w:rStyle w:val="Hyperlink"/>
                <w:noProof/>
                <w:lang w:eastAsia="en-AU"/>
              </w:rPr>
              <w:t>2.1. Current arrangements</w:t>
            </w:r>
            <w:r w:rsidR="008E15D5">
              <w:rPr>
                <w:noProof/>
                <w:webHidden/>
              </w:rPr>
              <w:tab/>
            </w:r>
            <w:r w:rsidR="008E15D5">
              <w:rPr>
                <w:noProof/>
                <w:webHidden/>
              </w:rPr>
              <w:fldChar w:fldCharType="begin"/>
            </w:r>
            <w:r w:rsidR="008E15D5">
              <w:rPr>
                <w:noProof/>
                <w:webHidden/>
              </w:rPr>
              <w:instrText xml:space="preserve"> PAGEREF _Toc42779154 \h </w:instrText>
            </w:r>
            <w:r w:rsidR="008E15D5">
              <w:rPr>
                <w:noProof/>
                <w:webHidden/>
              </w:rPr>
            </w:r>
            <w:r w:rsidR="008E15D5">
              <w:rPr>
                <w:noProof/>
                <w:webHidden/>
              </w:rPr>
              <w:fldChar w:fldCharType="separate"/>
            </w:r>
            <w:r w:rsidR="00BE0579">
              <w:rPr>
                <w:noProof/>
                <w:webHidden/>
              </w:rPr>
              <w:t>9</w:t>
            </w:r>
            <w:r w:rsidR="008E15D5">
              <w:rPr>
                <w:noProof/>
                <w:webHidden/>
              </w:rPr>
              <w:fldChar w:fldCharType="end"/>
            </w:r>
          </w:hyperlink>
        </w:p>
        <w:p w14:paraId="5FC48C0F" w14:textId="65556009" w:rsidR="008E15D5" w:rsidRDefault="005B6973">
          <w:pPr>
            <w:pStyle w:val="TOC2"/>
            <w:rPr>
              <w:rFonts w:asciiTheme="minorHAnsi" w:eastAsiaTheme="minorEastAsia" w:hAnsiTheme="minorHAnsi" w:cstheme="minorBidi"/>
              <w:noProof/>
              <w:lang w:eastAsia="en-AU"/>
            </w:rPr>
          </w:pPr>
          <w:hyperlink w:anchor="_Toc42779155" w:history="1">
            <w:r w:rsidR="008E15D5" w:rsidRPr="00AB0863">
              <w:rPr>
                <w:rStyle w:val="Hyperlink"/>
                <w:noProof/>
                <w:lang w:eastAsia="en-AU"/>
              </w:rPr>
              <w:t>2.2. Case for change</w:t>
            </w:r>
            <w:r w:rsidR="008E15D5">
              <w:rPr>
                <w:noProof/>
                <w:webHidden/>
              </w:rPr>
              <w:tab/>
            </w:r>
            <w:r w:rsidR="008E15D5">
              <w:rPr>
                <w:noProof/>
                <w:webHidden/>
              </w:rPr>
              <w:fldChar w:fldCharType="begin"/>
            </w:r>
            <w:r w:rsidR="008E15D5">
              <w:rPr>
                <w:noProof/>
                <w:webHidden/>
              </w:rPr>
              <w:instrText xml:space="preserve"> PAGEREF _Toc42779155 \h </w:instrText>
            </w:r>
            <w:r w:rsidR="008E15D5">
              <w:rPr>
                <w:noProof/>
                <w:webHidden/>
              </w:rPr>
            </w:r>
            <w:r w:rsidR="008E15D5">
              <w:rPr>
                <w:noProof/>
                <w:webHidden/>
              </w:rPr>
              <w:fldChar w:fldCharType="separate"/>
            </w:r>
            <w:r w:rsidR="00BE0579">
              <w:rPr>
                <w:noProof/>
                <w:webHidden/>
              </w:rPr>
              <w:t>11</w:t>
            </w:r>
            <w:r w:rsidR="008E15D5">
              <w:rPr>
                <w:noProof/>
                <w:webHidden/>
              </w:rPr>
              <w:fldChar w:fldCharType="end"/>
            </w:r>
          </w:hyperlink>
        </w:p>
        <w:p w14:paraId="123E0DA5" w14:textId="64F240B8" w:rsidR="008E15D5" w:rsidRDefault="005B6973">
          <w:pPr>
            <w:pStyle w:val="TOC2"/>
            <w:rPr>
              <w:rFonts w:asciiTheme="minorHAnsi" w:eastAsiaTheme="minorEastAsia" w:hAnsiTheme="minorHAnsi" w:cstheme="minorBidi"/>
              <w:noProof/>
              <w:lang w:eastAsia="en-AU"/>
            </w:rPr>
          </w:pPr>
          <w:hyperlink w:anchor="_Toc42779156" w:history="1">
            <w:r w:rsidR="008E15D5" w:rsidRPr="00AB0863">
              <w:rPr>
                <w:rStyle w:val="Hyperlink"/>
                <w:noProof/>
                <w:lang w:eastAsia="en-AU"/>
              </w:rPr>
              <w:t>2.3. Issues</w:t>
            </w:r>
            <w:r w:rsidR="008E15D5">
              <w:rPr>
                <w:noProof/>
                <w:webHidden/>
              </w:rPr>
              <w:tab/>
            </w:r>
            <w:r w:rsidR="008E15D5">
              <w:rPr>
                <w:noProof/>
                <w:webHidden/>
              </w:rPr>
              <w:fldChar w:fldCharType="begin"/>
            </w:r>
            <w:r w:rsidR="008E15D5">
              <w:rPr>
                <w:noProof/>
                <w:webHidden/>
              </w:rPr>
              <w:instrText xml:space="preserve"> PAGEREF _Toc42779156 \h </w:instrText>
            </w:r>
            <w:r w:rsidR="008E15D5">
              <w:rPr>
                <w:noProof/>
                <w:webHidden/>
              </w:rPr>
            </w:r>
            <w:r w:rsidR="008E15D5">
              <w:rPr>
                <w:noProof/>
                <w:webHidden/>
              </w:rPr>
              <w:fldChar w:fldCharType="separate"/>
            </w:r>
            <w:r w:rsidR="00BE0579">
              <w:rPr>
                <w:noProof/>
                <w:webHidden/>
              </w:rPr>
              <w:t>11</w:t>
            </w:r>
            <w:r w:rsidR="008E15D5">
              <w:rPr>
                <w:noProof/>
                <w:webHidden/>
              </w:rPr>
              <w:fldChar w:fldCharType="end"/>
            </w:r>
          </w:hyperlink>
        </w:p>
        <w:p w14:paraId="719E1F85" w14:textId="458B3A75" w:rsidR="008E15D5" w:rsidRDefault="005B6973">
          <w:pPr>
            <w:pStyle w:val="TOC1"/>
            <w:rPr>
              <w:rFonts w:asciiTheme="minorHAnsi" w:eastAsiaTheme="minorEastAsia" w:hAnsiTheme="minorHAnsi" w:cstheme="minorBidi"/>
              <w:b w:val="0"/>
              <w:noProof/>
              <w:lang w:eastAsia="en-AU"/>
            </w:rPr>
          </w:pPr>
          <w:hyperlink w:anchor="_Toc42779157" w:history="1">
            <w:r w:rsidR="008E15D5" w:rsidRPr="00AB0863">
              <w:rPr>
                <w:rStyle w:val="Hyperlink"/>
                <w:noProof/>
                <w:lang w:eastAsia="en-AU"/>
              </w:rPr>
              <w:t>3. Service requirements</w:t>
            </w:r>
            <w:r w:rsidR="008E15D5">
              <w:rPr>
                <w:noProof/>
                <w:webHidden/>
              </w:rPr>
              <w:tab/>
            </w:r>
            <w:r w:rsidR="008E15D5">
              <w:rPr>
                <w:noProof/>
                <w:webHidden/>
              </w:rPr>
              <w:fldChar w:fldCharType="begin"/>
            </w:r>
            <w:r w:rsidR="008E15D5">
              <w:rPr>
                <w:noProof/>
                <w:webHidden/>
              </w:rPr>
              <w:instrText xml:space="preserve"> PAGEREF _Toc42779157 \h </w:instrText>
            </w:r>
            <w:r w:rsidR="008E15D5">
              <w:rPr>
                <w:noProof/>
                <w:webHidden/>
              </w:rPr>
            </w:r>
            <w:r w:rsidR="008E15D5">
              <w:rPr>
                <w:noProof/>
                <w:webHidden/>
              </w:rPr>
              <w:fldChar w:fldCharType="separate"/>
            </w:r>
            <w:r w:rsidR="00BE0579">
              <w:rPr>
                <w:noProof/>
                <w:webHidden/>
              </w:rPr>
              <w:t>15</w:t>
            </w:r>
            <w:r w:rsidR="008E15D5">
              <w:rPr>
                <w:noProof/>
                <w:webHidden/>
              </w:rPr>
              <w:fldChar w:fldCharType="end"/>
            </w:r>
          </w:hyperlink>
        </w:p>
        <w:p w14:paraId="5A2C3471" w14:textId="21E0AAC8" w:rsidR="008E15D5" w:rsidRDefault="005B6973">
          <w:pPr>
            <w:pStyle w:val="TOC2"/>
            <w:rPr>
              <w:rFonts w:asciiTheme="minorHAnsi" w:eastAsiaTheme="minorEastAsia" w:hAnsiTheme="minorHAnsi" w:cstheme="minorBidi"/>
              <w:noProof/>
              <w:lang w:eastAsia="en-AU"/>
            </w:rPr>
          </w:pPr>
          <w:hyperlink w:anchor="_Toc42779158" w:history="1">
            <w:r w:rsidR="008E15D5" w:rsidRPr="00AB0863">
              <w:rPr>
                <w:rStyle w:val="Hyperlink"/>
                <w:noProof/>
                <w:lang w:eastAsia="en-AU"/>
              </w:rPr>
              <w:t>3.1. Current arrangements</w:t>
            </w:r>
            <w:r w:rsidR="008E15D5">
              <w:rPr>
                <w:noProof/>
                <w:webHidden/>
              </w:rPr>
              <w:tab/>
            </w:r>
            <w:r w:rsidR="008E15D5">
              <w:rPr>
                <w:noProof/>
                <w:webHidden/>
              </w:rPr>
              <w:fldChar w:fldCharType="begin"/>
            </w:r>
            <w:r w:rsidR="008E15D5">
              <w:rPr>
                <w:noProof/>
                <w:webHidden/>
              </w:rPr>
              <w:instrText xml:space="preserve"> PAGEREF _Toc42779158 \h </w:instrText>
            </w:r>
            <w:r w:rsidR="008E15D5">
              <w:rPr>
                <w:noProof/>
                <w:webHidden/>
              </w:rPr>
            </w:r>
            <w:r w:rsidR="008E15D5">
              <w:rPr>
                <w:noProof/>
                <w:webHidden/>
              </w:rPr>
              <w:fldChar w:fldCharType="separate"/>
            </w:r>
            <w:r w:rsidR="00BE0579">
              <w:rPr>
                <w:noProof/>
                <w:webHidden/>
              </w:rPr>
              <w:t>15</w:t>
            </w:r>
            <w:r w:rsidR="008E15D5">
              <w:rPr>
                <w:noProof/>
                <w:webHidden/>
              </w:rPr>
              <w:fldChar w:fldCharType="end"/>
            </w:r>
          </w:hyperlink>
        </w:p>
        <w:p w14:paraId="6CE4A818" w14:textId="12AACA98" w:rsidR="008E15D5" w:rsidRDefault="005B6973">
          <w:pPr>
            <w:pStyle w:val="TOC2"/>
            <w:rPr>
              <w:rFonts w:asciiTheme="minorHAnsi" w:eastAsiaTheme="minorEastAsia" w:hAnsiTheme="minorHAnsi" w:cstheme="minorBidi"/>
              <w:noProof/>
              <w:lang w:eastAsia="en-AU"/>
            </w:rPr>
          </w:pPr>
          <w:hyperlink w:anchor="_Toc42779159" w:history="1">
            <w:r w:rsidR="008E15D5" w:rsidRPr="00AB0863">
              <w:rPr>
                <w:rStyle w:val="Hyperlink"/>
                <w:noProof/>
                <w:lang w:eastAsia="en-AU"/>
              </w:rPr>
              <w:t>3.2. Case for change</w:t>
            </w:r>
            <w:r w:rsidR="008E15D5">
              <w:rPr>
                <w:noProof/>
                <w:webHidden/>
              </w:rPr>
              <w:tab/>
            </w:r>
            <w:r w:rsidR="008E15D5">
              <w:rPr>
                <w:noProof/>
                <w:webHidden/>
              </w:rPr>
              <w:fldChar w:fldCharType="begin"/>
            </w:r>
            <w:r w:rsidR="008E15D5">
              <w:rPr>
                <w:noProof/>
                <w:webHidden/>
              </w:rPr>
              <w:instrText xml:space="preserve"> PAGEREF _Toc42779159 \h </w:instrText>
            </w:r>
            <w:r w:rsidR="008E15D5">
              <w:rPr>
                <w:noProof/>
                <w:webHidden/>
              </w:rPr>
            </w:r>
            <w:r w:rsidR="008E15D5">
              <w:rPr>
                <w:noProof/>
                <w:webHidden/>
              </w:rPr>
              <w:fldChar w:fldCharType="separate"/>
            </w:r>
            <w:r w:rsidR="00BE0579">
              <w:rPr>
                <w:noProof/>
                <w:webHidden/>
              </w:rPr>
              <w:t>16</w:t>
            </w:r>
            <w:r w:rsidR="008E15D5">
              <w:rPr>
                <w:noProof/>
                <w:webHidden/>
              </w:rPr>
              <w:fldChar w:fldCharType="end"/>
            </w:r>
          </w:hyperlink>
        </w:p>
        <w:p w14:paraId="1B1180C8" w14:textId="652CB0A9" w:rsidR="008E15D5" w:rsidRDefault="005B6973">
          <w:pPr>
            <w:pStyle w:val="TOC2"/>
            <w:rPr>
              <w:rFonts w:asciiTheme="minorHAnsi" w:eastAsiaTheme="minorEastAsia" w:hAnsiTheme="minorHAnsi" w:cstheme="minorBidi"/>
              <w:noProof/>
              <w:lang w:eastAsia="en-AU"/>
            </w:rPr>
          </w:pPr>
          <w:hyperlink w:anchor="_Toc42779160" w:history="1">
            <w:r w:rsidR="008E15D5" w:rsidRPr="00AB0863">
              <w:rPr>
                <w:rStyle w:val="Hyperlink"/>
                <w:noProof/>
                <w:lang w:eastAsia="en-AU"/>
              </w:rPr>
              <w:t>3.3. Issues</w:t>
            </w:r>
            <w:r w:rsidR="008E15D5">
              <w:rPr>
                <w:noProof/>
                <w:webHidden/>
              </w:rPr>
              <w:tab/>
            </w:r>
            <w:r w:rsidR="008E15D5">
              <w:rPr>
                <w:noProof/>
                <w:webHidden/>
              </w:rPr>
              <w:fldChar w:fldCharType="begin"/>
            </w:r>
            <w:r w:rsidR="008E15D5">
              <w:rPr>
                <w:noProof/>
                <w:webHidden/>
              </w:rPr>
              <w:instrText xml:space="preserve"> PAGEREF _Toc42779160 \h </w:instrText>
            </w:r>
            <w:r w:rsidR="008E15D5">
              <w:rPr>
                <w:noProof/>
                <w:webHidden/>
              </w:rPr>
            </w:r>
            <w:r w:rsidR="008E15D5">
              <w:rPr>
                <w:noProof/>
                <w:webHidden/>
              </w:rPr>
              <w:fldChar w:fldCharType="separate"/>
            </w:r>
            <w:r w:rsidR="00BE0579">
              <w:rPr>
                <w:noProof/>
                <w:webHidden/>
              </w:rPr>
              <w:t>16</w:t>
            </w:r>
            <w:r w:rsidR="008E15D5">
              <w:rPr>
                <w:noProof/>
                <w:webHidden/>
              </w:rPr>
              <w:fldChar w:fldCharType="end"/>
            </w:r>
          </w:hyperlink>
        </w:p>
        <w:p w14:paraId="0986270A" w14:textId="4249B22F" w:rsidR="008E15D5" w:rsidRDefault="005B6973">
          <w:pPr>
            <w:pStyle w:val="TOC1"/>
            <w:rPr>
              <w:rFonts w:asciiTheme="minorHAnsi" w:eastAsiaTheme="minorEastAsia" w:hAnsiTheme="minorHAnsi" w:cstheme="minorBidi"/>
              <w:b w:val="0"/>
              <w:noProof/>
              <w:lang w:eastAsia="en-AU"/>
            </w:rPr>
          </w:pPr>
          <w:hyperlink w:anchor="_Toc42779161" w:history="1">
            <w:r w:rsidR="008E15D5" w:rsidRPr="00AB0863">
              <w:rPr>
                <w:rStyle w:val="Hyperlink"/>
                <w:noProof/>
                <w:lang w:eastAsia="en-AU"/>
              </w:rPr>
              <w:t>4. Service provision framework</w:t>
            </w:r>
            <w:r w:rsidR="008E15D5">
              <w:rPr>
                <w:noProof/>
                <w:webHidden/>
              </w:rPr>
              <w:tab/>
            </w:r>
            <w:r w:rsidR="008E15D5">
              <w:rPr>
                <w:noProof/>
                <w:webHidden/>
              </w:rPr>
              <w:fldChar w:fldCharType="begin"/>
            </w:r>
            <w:r w:rsidR="008E15D5">
              <w:rPr>
                <w:noProof/>
                <w:webHidden/>
              </w:rPr>
              <w:instrText xml:space="preserve"> PAGEREF _Toc42779161 \h </w:instrText>
            </w:r>
            <w:r w:rsidR="008E15D5">
              <w:rPr>
                <w:noProof/>
                <w:webHidden/>
              </w:rPr>
            </w:r>
            <w:r w:rsidR="008E15D5">
              <w:rPr>
                <w:noProof/>
                <w:webHidden/>
              </w:rPr>
              <w:fldChar w:fldCharType="separate"/>
            </w:r>
            <w:r w:rsidR="00BE0579">
              <w:rPr>
                <w:noProof/>
                <w:webHidden/>
              </w:rPr>
              <w:t>18</w:t>
            </w:r>
            <w:r w:rsidR="008E15D5">
              <w:rPr>
                <w:noProof/>
                <w:webHidden/>
              </w:rPr>
              <w:fldChar w:fldCharType="end"/>
            </w:r>
          </w:hyperlink>
        </w:p>
        <w:p w14:paraId="7A946ED0" w14:textId="11EC38F0" w:rsidR="008E15D5" w:rsidRDefault="005B6973">
          <w:pPr>
            <w:pStyle w:val="TOC2"/>
            <w:rPr>
              <w:rFonts w:asciiTheme="minorHAnsi" w:eastAsiaTheme="minorEastAsia" w:hAnsiTheme="minorHAnsi" w:cstheme="minorBidi"/>
              <w:noProof/>
              <w:lang w:eastAsia="en-AU"/>
            </w:rPr>
          </w:pPr>
          <w:hyperlink w:anchor="_Toc42779162" w:history="1">
            <w:r w:rsidR="008E15D5" w:rsidRPr="00AB0863">
              <w:rPr>
                <w:rStyle w:val="Hyperlink"/>
                <w:noProof/>
                <w:lang w:eastAsia="en-AU"/>
              </w:rPr>
              <w:t>4.1. Current arrangements</w:t>
            </w:r>
            <w:r w:rsidR="008E15D5">
              <w:rPr>
                <w:noProof/>
                <w:webHidden/>
              </w:rPr>
              <w:tab/>
            </w:r>
            <w:r w:rsidR="008E15D5">
              <w:rPr>
                <w:noProof/>
                <w:webHidden/>
              </w:rPr>
              <w:fldChar w:fldCharType="begin"/>
            </w:r>
            <w:r w:rsidR="008E15D5">
              <w:rPr>
                <w:noProof/>
                <w:webHidden/>
              </w:rPr>
              <w:instrText xml:space="preserve"> PAGEREF _Toc42779162 \h </w:instrText>
            </w:r>
            <w:r w:rsidR="008E15D5">
              <w:rPr>
                <w:noProof/>
                <w:webHidden/>
              </w:rPr>
            </w:r>
            <w:r w:rsidR="008E15D5">
              <w:rPr>
                <w:noProof/>
                <w:webHidden/>
              </w:rPr>
              <w:fldChar w:fldCharType="separate"/>
            </w:r>
            <w:r w:rsidR="00BE0579">
              <w:rPr>
                <w:noProof/>
                <w:webHidden/>
              </w:rPr>
              <w:t>18</w:t>
            </w:r>
            <w:r w:rsidR="008E15D5">
              <w:rPr>
                <w:noProof/>
                <w:webHidden/>
              </w:rPr>
              <w:fldChar w:fldCharType="end"/>
            </w:r>
          </w:hyperlink>
        </w:p>
        <w:p w14:paraId="2B6C2D01" w14:textId="39AFC6F1" w:rsidR="008E15D5" w:rsidRDefault="005B6973">
          <w:pPr>
            <w:pStyle w:val="TOC2"/>
            <w:rPr>
              <w:rFonts w:asciiTheme="minorHAnsi" w:eastAsiaTheme="minorEastAsia" w:hAnsiTheme="minorHAnsi" w:cstheme="minorBidi"/>
              <w:noProof/>
              <w:lang w:eastAsia="en-AU"/>
            </w:rPr>
          </w:pPr>
          <w:hyperlink w:anchor="_Toc42779163" w:history="1">
            <w:r w:rsidR="008E15D5" w:rsidRPr="00AB0863">
              <w:rPr>
                <w:rStyle w:val="Hyperlink"/>
                <w:noProof/>
                <w:lang w:eastAsia="en-AU"/>
              </w:rPr>
              <w:t>4.2. Case for change</w:t>
            </w:r>
            <w:r w:rsidR="008E15D5">
              <w:rPr>
                <w:noProof/>
                <w:webHidden/>
              </w:rPr>
              <w:tab/>
            </w:r>
            <w:r w:rsidR="008E15D5">
              <w:rPr>
                <w:noProof/>
                <w:webHidden/>
              </w:rPr>
              <w:fldChar w:fldCharType="begin"/>
            </w:r>
            <w:r w:rsidR="008E15D5">
              <w:rPr>
                <w:noProof/>
                <w:webHidden/>
              </w:rPr>
              <w:instrText xml:space="preserve"> PAGEREF _Toc42779163 \h </w:instrText>
            </w:r>
            <w:r w:rsidR="008E15D5">
              <w:rPr>
                <w:noProof/>
                <w:webHidden/>
              </w:rPr>
            </w:r>
            <w:r w:rsidR="008E15D5">
              <w:rPr>
                <w:noProof/>
                <w:webHidden/>
              </w:rPr>
              <w:fldChar w:fldCharType="separate"/>
            </w:r>
            <w:r w:rsidR="00BE0579">
              <w:rPr>
                <w:noProof/>
                <w:webHidden/>
              </w:rPr>
              <w:t>18</w:t>
            </w:r>
            <w:r w:rsidR="008E15D5">
              <w:rPr>
                <w:noProof/>
                <w:webHidden/>
              </w:rPr>
              <w:fldChar w:fldCharType="end"/>
            </w:r>
          </w:hyperlink>
        </w:p>
        <w:p w14:paraId="70075A8C" w14:textId="435BB435" w:rsidR="008E15D5" w:rsidRDefault="005B6973">
          <w:pPr>
            <w:pStyle w:val="TOC2"/>
            <w:rPr>
              <w:rFonts w:asciiTheme="minorHAnsi" w:eastAsiaTheme="minorEastAsia" w:hAnsiTheme="minorHAnsi" w:cstheme="minorBidi"/>
              <w:noProof/>
              <w:lang w:eastAsia="en-AU"/>
            </w:rPr>
          </w:pPr>
          <w:hyperlink w:anchor="_Toc42779164" w:history="1">
            <w:r w:rsidR="008E15D5" w:rsidRPr="00AB0863">
              <w:rPr>
                <w:rStyle w:val="Hyperlink"/>
                <w:noProof/>
                <w:lang w:eastAsia="en-AU"/>
              </w:rPr>
              <w:t>4.3. Issues</w:t>
            </w:r>
            <w:r w:rsidR="008E15D5">
              <w:rPr>
                <w:noProof/>
                <w:webHidden/>
              </w:rPr>
              <w:tab/>
            </w:r>
            <w:r w:rsidR="008E15D5">
              <w:rPr>
                <w:noProof/>
                <w:webHidden/>
              </w:rPr>
              <w:fldChar w:fldCharType="begin"/>
            </w:r>
            <w:r w:rsidR="008E15D5">
              <w:rPr>
                <w:noProof/>
                <w:webHidden/>
              </w:rPr>
              <w:instrText xml:space="preserve"> PAGEREF _Toc42779164 \h </w:instrText>
            </w:r>
            <w:r w:rsidR="008E15D5">
              <w:rPr>
                <w:noProof/>
                <w:webHidden/>
              </w:rPr>
            </w:r>
            <w:r w:rsidR="008E15D5">
              <w:rPr>
                <w:noProof/>
                <w:webHidden/>
              </w:rPr>
              <w:fldChar w:fldCharType="separate"/>
            </w:r>
            <w:r w:rsidR="00BE0579">
              <w:rPr>
                <w:noProof/>
                <w:webHidden/>
              </w:rPr>
              <w:t>19</w:t>
            </w:r>
            <w:r w:rsidR="008E15D5">
              <w:rPr>
                <w:noProof/>
                <w:webHidden/>
              </w:rPr>
              <w:fldChar w:fldCharType="end"/>
            </w:r>
          </w:hyperlink>
        </w:p>
        <w:p w14:paraId="6529AF3C" w14:textId="357F70BD" w:rsidR="008E15D5" w:rsidRDefault="005B6973">
          <w:pPr>
            <w:pStyle w:val="TOC1"/>
            <w:rPr>
              <w:rFonts w:asciiTheme="minorHAnsi" w:eastAsiaTheme="minorEastAsia" w:hAnsiTheme="minorHAnsi" w:cstheme="minorBidi"/>
              <w:b w:val="0"/>
              <w:noProof/>
              <w:lang w:eastAsia="en-AU"/>
            </w:rPr>
          </w:pPr>
          <w:hyperlink w:anchor="_Toc42779165" w:history="1">
            <w:r w:rsidR="008E15D5" w:rsidRPr="00AB0863">
              <w:rPr>
                <w:rStyle w:val="Hyperlink"/>
                <w:noProof/>
                <w:lang w:eastAsia="en-AU"/>
              </w:rPr>
              <w:t>5. Administered pricing arrangements and market power mitigation</w:t>
            </w:r>
            <w:r w:rsidR="008E15D5">
              <w:rPr>
                <w:noProof/>
                <w:webHidden/>
              </w:rPr>
              <w:tab/>
            </w:r>
            <w:r w:rsidR="008E15D5">
              <w:rPr>
                <w:noProof/>
                <w:webHidden/>
              </w:rPr>
              <w:fldChar w:fldCharType="begin"/>
            </w:r>
            <w:r w:rsidR="008E15D5">
              <w:rPr>
                <w:noProof/>
                <w:webHidden/>
              </w:rPr>
              <w:instrText xml:space="preserve"> PAGEREF _Toc42779165 \h </w:instrText>
            </w:r>
            <w:r w:rsidR="008E15D5">
              <w:rPr>
                <w:noProof/>
                <w:webHidden/>
              </w:rPr>
            </w:r>
            <w:r w:rsidR="008E15D5">
              <w:rPr>
                <w:noProof/>
                <w:webHidden/>
              </w:rPr>
              <w:fldChar w:fldCharType="separate"/>
            </w:r>
            <w:r w:rsidR="00BE0579">
              <w:rPr>
                <w:noProof/>
                <w:webHidden/>
              </w:rPr>
              <w:t>21</w:t>
            </w:r>
            <w:r w:rsidR="008E15D5">
              <w:rPr>
                <w:noProof/>
                <w:webHidden/>
              </w:rPr>
              <w:fldChar w:fldCharType="end"/>
            </w:r>
          </w:hyperlink>
        </w:p>
        <w:p w14:paraId="0B346CBD" w14:textId="72FC1652" w:rsidR="008E15D5" w:rsidRDefault="005B6973">
          <w:pPr>
            <w:pStyle w:val="TOC2"/>
            <w:rPr>
              <w:rFonts w:asciiTheme="minorHAnsi" w:eastAsiaTheme="minorEastAsia" w:hAnsiTheme="minorHAnsi" w:cstheme="minorBidi"/>
              <w:noProof/>
              <w:lang w:eastAsia="en-AU"/>
            </w:rPr>
          </w:pPr>
          <w:hyperlink w:anchor="_Toc42779166" w:history="1">
            <w:r w:rsidR="008E15D5" w:rsidRPr="00AB0863">
              <w:rPr>
                <w:rStyle w:val="Hyperlink"/>
                <w:noProof/>
                <w:lang w:eastAsia="en-AU"/>
              </w:rPr>
              <w:t>5.1. Current arrangements</w:t>
            </w:r>
            <w:r w:rsidR="008E15D5">
              <w:rPr>
                <w:noProof/>
                <w:webHidden/>
              </w:rPr>
              <w:tab/>
            </w:r>
            <w:r w:rsidR="008E15D5">
              <w:rPr>
                <w:noProof/>
                <w:webHidden/>
              </w:rPr>
              <w:fldChar w:fldCharType="begin"/>
            </w:r>
            <w:r w:rsidR="008E15D5">
              <w:rPr>
                <w:noProof/>
                <w:webHidden/>
              </w:rPr>
              <w:instrText xml:space="preserve"> PAGEREF _Toc42779166 \h </w:instrText>
            </w:r>
            <w:r w:rsidR="008E15D5">
              <w:rPr>
                <w:noProof/>
                <w:webHidden/>
              </w:rPr>
            </w:r>
            <w:r w:rsidR="008E15D5">
              <w:rPr>
                <w:noProof/>
                <w:webHidden/>
              </w:rPr>
              <w:fldChar w:fldCharType="separate"/>
            </w:r>
            <w:r w:rsidR="00BE0579">
              <w:rPr>
                <w:noProof/>
                <w:webHidden/>
              </w:rPr>
              <w:t>21</w:t>
            </w:r>
            <w:r w:rsidR="008E15D5">
              <w:rPr>
                <w:noProof/>
                <w:webHidden/>
              </w:rPr>
              <w:fldChar w:fldCharType="end"/>
            </w:r>
          </w:hyperlink>
        </w:p>
        <w:p w14:paraId="753C3D43" w14:textId="21620FB9" w:rsidR="008E15D5" w:rsidRDefault="005B6973">
          <w:pPr>
            <w:pStyle w:val="TOC2"/>
            <w:rPr>
              <w:rFonts w:asciiTheme="minorHAnsi" w:eastAsiaTheme="minorEastAsia" w:hAnsiTheme="minorHAnsi" w:cstheme="minorBidi"/>
              <w:noProof/>
              <w:lang w:eastAsia="en-AU"/>
            </w:rPr>
          </w:pPr>
          <w:hyperlink w:anchor="_Toc42779167" w:history="1">
            <w:r w:rsidR="008E15D5" w:rsidRPr="00AB0863">
              <w:rPr>
                <w:rStyle w:val="Hyperlink"/>
                <w:noProof/>
                <w:lang w:eastAsia="en-AU"/>
              </w:rPr>
              <w:t>5.2. Case for change</w:t>
            </w:r>
            <w:r w:rsidR="008E15D5">
              <w:rPr>
                <w:noProof/>
                <w:webHidden/>
              </w:rPr>
              <w:tab/>
            </w:r>
            <w:r w:rsidR="008E15D5">
              <w:rPr>
                <w:noProof/>
                <w:webHidden/>
              </w:rPr>
              <w:fldChar w:fldCharType="begin"/>
            </w:r>
            <w:r w:rsidR="008E15D5">
              <w:rPr>
                <w:noProof/>
                <w:webHidden/>
              </w:rPr>
              <w:instrText xml:space="preserve"> PAGEREF _Toc42779167 \h </w:instrText>
            </w:r>
            <w:r w:rsidR="008E15D5">
              <w:rPr>
                <w:noProof/>
                <w:webHidden/>
              </w:rPr>
            </w:r>
            <w:r w:rsidR="008E15D5">
              <w:rPr>
                <w:noProof/>
                <w:webHidden/>
              </w:rPr>
              <w:fldChar w:fldCharType="separate"/>
            </w:r>
            <w:r w:rsidR="00BE0579">
              <w:rPr>
                <w:noProof/>
                <w:webHidden/>
              </w:rPr>
              <w:t>21</w:t>
            </w:r>
            <w:r w:rsidR="008E15D5">
              <w:rPr>
                <w:noProof/>
                <w:webHidden/>
              </w:rPr>
              <w:fldChar w:fldCharType="end"/>
            </w:r>
          </w:hyperlink>
        </w:p>
        <w:p w14:paraId="230732CC" w14:textId="4CB5CCEB" w:rsidR="008E15D5" w:rsidRDefault="005B6973">
          <w:pPr>
            <w:pStyle w:val="TOC2"/>
            <w:rPr>
              <w:rFonts w:asciiTheme="minorHAnsi" w:eastAsiaTheme="minorEastAsia" w:hAnsiTheme="minorHAnsi" w:cstheme="minorBidi"/>
              <w:noProof/>
              <w:lang w:eastAsia="en-AU"/>
            </w:rPr>
          </w:pPr>
          <w:hyperlink w:anchor="_Toc42779168" w:history="1">
            <w:r w:rsidR="008E15D5" w:rsidRPr="00AB0863">
              <w:rPr>
                <w:rStyle w:val="Hyperlink"/>
                <w:noProof/>
                <w:lang w:eastAsia="en-AU"/>
              </w:rPr>
              <w:t>5.3. Issues</w:t>
            </w:r>
            <w:r w:rsidR="008E15D5">
              <w:rPr>
                <w:noProof/>
                <w:webHidden/>
              </w:rPr>
              <w:tab/>
            </w:r>
            <w:r w:rsidR="008E15D5">
              <w:rPr>
                <w:noProof/>
                <w:webHidden/>
              </w:rPr>
              <w:fldChar w:fldCharType="begin"/>
            </w:r>
            <w:r w:rsidR="008E15D5">
              <w:rPr>
                <w:noProof/>
                <w:webHidden/>
              </w:rPr>
              <w:instrText xml:space="preserve"> PAGEREF _Toc42779168 \h </w:instrText>
            </w:r>
            <w:r w:rsidR="008E15D5">
              <w:rPr>
                <w:noProof/>
                <w:webHidden/>
              </w:rPr>
            </w:r>
            <w:r w:rsidR="008E15D5">
              <w:rPr>
                <w:noProof/>
                <w:webHidden/>
              </w:rPr>
              <w:fldChar w:fldCharType="separate"/>
            </w:r>
            <w:r w:rsidR="00BE0579">
              <w:rPr>
                <w:noProof/>
                <w:webHidden/>
              </w:rPr>
              <w:t>22</w:t>
            </w:r>
            <w:r w:rsidR="008E15D5">
              <w:rPr>
                <w:noProof/>
                <w:webHidden/>
              </w:rPr>
              <w:fldChar w:fldCharType="end"/>
            </w:r>
          </w:hyperlink>
        </w:p>
        <w:p w14:paraId="66346E89" w14:textId="78271FBF" w:rsidR="008E15D5" w:rsidRDefault="005B6973">
          <w:pPr>
            <w:pStyle w:val="TOC1"/>
            <w:rPr>
              <w:rFonts w:asciiTheme="minorHAnsi" w:eastAsiaTheme="minorEastAsia" w:hAnsiTheme="minorHAnsi" w:cstheme="minorBidi"/>
              <w:b w:val="0"/>
              <w:noProof/>
              <w:lang w:eastAsia="en-AU"/>
            </w:rPr>
          </w:pPr>
          <w:hyperlink w:anchor="_Toc42779169" w:history="1">
            <w:r w:rsidR="008E15D5" w:rsidRPr="00AB0863">
              <w:rPr>
                <w:rStyle w:val="Hyperlink"/>
                <w:noProof/>
                <w:lang w:eastAsia="en-AU"/>
              </w:rPr>
              <w:t>6. Cost allocation and settlement</w:t>
            </w:r>
            <w:r w:rsidR="008E15D5">
              <w:rPr>
                <w:noProof/>
                <w:webHidden/>
              </w:rPr>
              <w:tab/>
            </w:r>
            <w:r w:rsidR="008E15D5">
              <w:rPr>
                <w:noProof/>
                <w:webHidden/>
              </w:rPr>
              <w:fldChar w:fldCharType="begin"/>
            </w:r>
            <w:r w:rsidR="008E15D5">
              <w:rPr>
                <w:noProof/>
                <w:webHidden/>
              </w:rPr>
              <w:instrText xml:space="preserve"> PAGEREF _Toc42779169 \h </w:instrText>
            </w:r>
            <w:r w:rsidR="008E15D5">
              <w:rPr>
                <w:noProof/>
                <w:webHidden/>
              </w:rPr>
            </w:r>
            <w:r w:rsidR="008E15D5">
              <w:rPr>
                <w:noProof/>
                <w:webHidden/>
              </w:rPr>
              <w:fldChar w:fldCharType="separate"/>
            </w:r>
            <w:r w:rsidR="00BE0579">
              <w:rPr>
                <w:noProof/>
                <w:webHidden/>
              </w:rPr>
              <w:t>24</w:t>
            </w:r>
            <w:r w:rsidR="008E15D5">
              <w:rPr>
                <w:noProof/>
                <w:webHidden/>
              </w:rPr>
              <w:fldChar w:fldCharType="end"/>
            </w:r>
          </w:hyperlink>
        </w:p>
        <w:p w14:paraId="048160FB" w14:textId="30040E77" w:rsidR="008E15D5" w:rsidRDefault="005B6973">
          <w:pPr>
            <w:pStyle w:val="TOC2"/>
            <w:rPr>
              <w:rFonts w:asciiTheme="minorHAnsi" w:eastAsiaTheme="minorEastAsia" w:hAnsiTheme="minorHAnsi" w:cstheme="minorBidi"/>
              <w:noProof/>
              <w:lang w:eastAsia="en-AU"/>
            </w:rPr>
          </w:pPr>
          <w:hyperlink w:anchor="_Toc42779170" w:history="1">
            <w:r w:rsidR="008E15D5" w:rsidRPr="00AB0863">
              <w:rPr>
                <w:rStyle w:val="Hyperlink"/>
                <w:noProof/>
                <w:lang w:eastAsia="en-AU"/>
              </w:rPr>
              <w:t>6.1. Current arrangements</w:t>
            </w:r>
            <w:r w:rsidR="008E15D5">
              <w:rPr>
                <w:noProof/>
                <w:webHidden/>
              </w:rPr>
              <w:tab/>
            </w:r>
            <w:r w:rsidR="008E15D5">
              <w:rPr>
                <w:noProof/>
                <w:webHidden/>
              </w:rPr>
              <w:fldChar w:fldCharType="begin"/>
            </w:r>
            <w:r w:rsidR="008E15D5">
              <w:rPr>
                <w:noProof/>
                <w:webHidden/>
              </w:rPr>
              <w:instrText xml:space="preserve"> PAGEREF _Toc42779170 \h </w:instrText>
            </w:r>
            <w:r w:rsidR="008E15D5">
              <w:rPr>
                <w:noProof/>
                <w:webHidden/>
              </w:rPr>
            </w:r>
            <w:r w:rsidR="008E15D5">
              <w:rPr>
                <w:noProof/>
                <w:webHidden/>
              </w:rPr>
              <w:fldChar w:fldCharType="separate"/>
            </w:r>
            <w:r w:rsidR="00BE0579">
              <w:rPr>
                <w:noProof/>
                <w:webHidden/>
              </w:rPr>
              <w:t>24</w:t>
            </w:r>
            <w:r w:rsidR="008E15D5">
              <w:rPr>
                <w:noProof/>
                <w:webHidden/>
              </w:rPr>
              <w:fldChar w:fldCharType="end"/>
            </w:r>
          </w:hyperlink>
        </w:p>
        <w:p w14:paraId="72721D2D" w14:textId="4A053042" w:rsidR="008E15D5" w:rsidRDefault="005B6973">
          <w:pPr>
            <w:pStyle w:val="TOC2"/>
            <w:rPr>
              <w:rFonts w:asciiTheme="minorHAnsi" w:eastAsiaTheme="minorEastAsia" w:hAnsiTheme="minorHAnsi" w:cstheme="minorBidi"/>
              <w:noProof/>
              <w:lang w:eastAsia="en-AU"/>
            </w:rPr>
          </w:pPr>
          <w:hyperlink w:anchor="_Toc42779171" w:history="1">
            <w:r w:rsidR="008E15D5" w:rsidRPr="00AB0863">
              <w:rPr>
                <w:rStyle w:val="Hyperlink"/>
                <w:noProof/>
                <w:lang w:eastAsia="en-AU"/>
              </w:rPr>
              <w:t>6.2. Case for change</w:t>
            </w:r>
            <w:r w:rsidR="008E15D5">
              <w:rPr>
                <w:noProof/>
                <w:webHidden/>
              </w:rPr>
              <w:tab/>
            </w:r>
            <w:r w:rsidR="008E15D5">
              <w:rPr>
                <w:noProof/>
                <w:webHidden/>
              </w:rPr>
              <w:fldChar w:fldCharType="begin"/>
            </w:r>
            <w:r w:rsidR="008E15D5">
              <w:rPr>
                <w:noProof/>
                <w:webHidden/>
              </w:rPr>
              <w:instrText xml:space="preserve"> PAGEREF _Toc42779171 \h </w:instrText>
            </w:r>
            <w:r w:rsidR="008E15D5">
              <w:rPr>
                <w:noProof/>
                <w:webHidden/>
              </w:rPr>
            </w:r>
            <w:r w:rsidR="008E15D5">
              <w:rPr>
                <w:noProof/>
                <w:webHidden/>
              </w:rPr>
              <w:fldChar w:fldCharType="separate"/>
            </w:r>
            <w:r w:rsidR="00BE0579">
              <w:rPr>
                <w:noProof/>
                <w:webHidden/>
              </w:rPr>
              <w:t>24</w:t>
            </w:r>
            <w:r w:rsidR="008E15D5">
              <w:rPr>
                <w:noProof/>
                <w:webHidden/>
              </w:rPr>
              <w:fldChar w:fldCharType="end"/>
            </w:r>
          </w:hyperlink>
        </w:p>
        <w:p w14:paraId="1ED636B2" w14:textId="59BACD2C" w:rsidR="008E15D5" w:rsidRDefault="005B6973">
          <w:pPr>
            <w:pStyle w:val="TOC2"/>
            <w:rPr>
              <w:rFonts w:asciiTheme="minorHAnsi" w:eastAsiaTheme="minorEastAsia" w:hAnsiTheme="minorHAnsi" w:cstheme="minorBidi"/>
              <w:noProof/>
              <w:lang w:eastAsia="en-AU"/>
            </w:rPr>
          </w:pPr>
          <w:hyperlink w:anchor="_Toc42779172" w:history="1">
            <w:r w:rsidR="008E15D5" w:rsidRPr="00AB0863">
              <w:rPr>
                <w:rStyle w:val="Hyperlink"/>
                <w:noProof/>
                <w:lang w:eastAsia="en-AU"/>
              </w:rPr>
              <w:t>6.3. Issues</w:t>
            </w:r>
            <w:r w:rsidR="008E15D5">
              <w:rPr>
                <w:noProof/>
                <w:webHidden/>
              </w:rPr>
              <w:tab/>
            </w:r>
            <w:r w:rsidR="008E15D5">
              <w:rPr>
                <w:noProof/>
                <w:webHidden/>
              </w:rPr>
              <w:fldChar w:fldCharType="begin"/>
            </w:r>
            <w:r w:rsidR="008E15D5">
              <w:rPr>
                <w:noProof/>
                <w:webHidden/>
              </w:rPr>
              <w:instrText xml:space="preserve"> PAGEREF _Toc42779172 \h </w:instrText>
            </w:r>
            <w:r w:rsidR="008E15D5">
              <w:rPr>
                <w:noProof/>
                <w:webHidden/>
              </w:rPr>
            </w:r>
            <w:r w:rsidR="008E15D5">
              <w:rPr>
                <w:noProof/>
                <w:webHidden/>
              </w:rPr>
              <w:fldChar w:fldCharType="separate"/>
            </w:r>
            <w:r w:rsidR="00BE0579">
              <w:rPr>
                <w:noProof/>
                <w:webHidden/>
              </w:rPr>
              <w:t>24</w:t>
            </w:r>
            <w:r w:rsidR="008E15D5">
              <w:rPr>
                <w:noProof/>
                <w:webHidden/>
              </w:rPr>
              <w:fldChar w:fldCharType="end"/>
            </w:r>
          </w:hyperlink>
        </w:p>
        <w:p w14:paraId="1AFCFB25" w14:textId="65694182" w:rsidR="008E15D5" w:rsidRDefault="005B6973">
          <w:pPr>
            <w:pStyle w:val="TOC1"/>
            <w:rPr>
              <w:rFonts w:asciiTheme="minorHAnsi" w:eastAsiaTheme="minorEastAsia" w:hAnsiTheme="minorHAnsi" w:cstheme="minorBidi"/>
              <w:b w:val="0"/>
              <w:noProof/>
              <w:lang w:eastAsia="en-AU"/>
            </w:rPr>
          </w:pPr>
          <w:hyperlink w:anchor="_Toc42779173" w:history="1">
            <w:r w:rsidR="008E15D5" w:rsidRPr="00AB0863">
              <w:rPr>
                <w:rStyle w:val="Hyperlink"/>
                <w:noProof/>
                <w:lang w:eastAsia="en-AU"/>
              </w:rPr>
              <w:t>7. Other issues</w:t>
            </w:r>
            <w:r w:rsidR="008E15D5">
              <w:rPr>
                <w:noProof/>
                <w:webHidden/>
              </w:rPr>
              <w:tab/>
            </w:r>
            <w:r w:rsidR="008E15D5">
              <w:rPr>
                <w:noProof/>
                <w:webHidden/>
              </w:rPr>
              <w:fldChar w:fldCharType="begin"/>
            </w:r>
            <w:r w:rsidR="008E15D5">
              <w:rPr>
                <w:noProof/>
                <w:webHidden/>
              </w:rPr>
              <w:instrText xml:space="preserve"> PAGEREF _Toc42779173 \h </w:instrText>
            </w:r>
            <w:r w:rsidR="008E15D5">
              <w:rPr>
                <w:noProof/>
                <w:webHidden/>
              </w:rPr>
            </w:r>
            <w:r w:rsidR="008E15D5">
              <w:rPr>
                <w:noProof/>
                <w:webHidden/>
              </w:rPr>
              <w:fldChar w:fldCharType="separate"/>
            </w:r>
            <w:r w:rsidR="00BE0579">
              <w:rPr>
                <w:noProof/>
                <w:webHidden/>
              </w:rPr>
              <w:t>26</w:t>
            </w:r>
            <w:r w:rsidR="008E15D5">
              <w:rPr>
                <w:noProof/>
                <w:webHidden/>
              </w:rPr>
              <w:fldChar w:fldCharType="end"/>
            </w:r>
          </w:hyperlink>
        </w:p>
        <w:p w14:paraId="763B81EC" w14:textId="19FA9A08" w:rsidR="008E15D5" w:rsidRDefault="005B6973">
          <w:pPr>
            <w:pStyle w:val="TOC2"/>
            <w:rPr>
              <w:rFonts w:asciiTheme="minorHAnsi" w:eastAsiaTheme="minorEastAsia" w:hAnsiTheme="minorHAnsi" w:cstheme="minorBidi"/>
              <w:noProof/>
              <w:lang w:eastAsia="en-AU"/>
            </w:rPr>
          </w:pPr>
          <w:hyperlink w:anchor="_Toc42779174" w:history="1">
            <w:r w:rsidR="008E15D5" w:rsidRPr="00AB0863">
              <w:rPr>
                <w:rStyle w:val="Hyperlink"/>
                <w:noProof/>
                <w:lang w:eastAsia="en-AU"/>
              </w:rPr>
              <w:t>7.1. Legislative and regulatory framework</w:t>
            </w:r>
            <w:r w:rsidR="008E15D5">
              <w:rPr>
                <w:noProof/>
                <w:webHidden/>
              </w:rPr>
              <w:tab/>
            </w:r>
            <w:r w:rsidR="008E15D5">
              <w:rPr>
                <w:noProof/>
                <w:webHidden/>
              </w:rPr>
              <w:fldChar w:fldCharType="begin"/>
            </w:r>
            <w:r w:rsidR="008E15D5">
              <w:rPr>
                <w:noProof/>
                <w:webHidden/>
              </w:rPr>
              <w:instrText xml:space="preserve"> PAGEREF _Toc42779174 \h </w:instrText>
            </w:r>
            <w:r w:rsidR="008E15D5">
              <w:rPr>
                <w:noProof/>
                <w:webHidden/>
              </w:rPr>
            </w:r>
            <w:r w:rsidR="008E15D5">
              <w:rPr>
                <w:noProof/>
                <w:webHidden/>
              </w:rPr>
              <w:fldChar w:fldCharType="separate"/>
            </w:r>
            <w:r w:rsidR="00BE0579">
              <w:rPr>
                <w:noProof/>
                <w:webHidden/>
              </w:rPr>
              <w:t>26</w:t>
            </w:r>
            <w:r w:rsidR="008E15D5">
              <w:rPr>
                <w:noProof/>
                <w:webHidden/>
              </w:rPr>
              <w:fldChar w:fldCharType="end"/>
            </w:r>
          </w:hyperlink>
        </w:p>
        <w:p w14:paraId="63F41F83" w14:textId="0F1052C4" w:rsidR="008E15D5" w:rsidRDefault="005B6973">
          <w:pPr>
            <w:pStyle w:val="TOC1"/>
            <w:rPr>
              <w:rFonts w:asciiTheme="minorHAnsi" w:eastAsiaTheme="minorEastAsia" w:hAnsiTheme="minorHAnsi" w:cstheme="minorBidi"/>
              <w:b w:val="0"/>
              <w:noProof/>
              <w:lang w:eastAsia="en-AU"/>
            </w:rPr>
          </w:pPr>
          <w:hyperlink w:anchor="_Toc42779175" w:history="1">
            <w:r w:rsidR="008E15D5" w:rsidRPr="00AB0863">
              <w:rPr>
                <w:rStyle w:val="Hyperlink"/>
                <w:noProof/>
                <w:lang w:eastAsia="en-AU"/>
              </w:rPr>
              <w:t>8. Making a submission</w:t>
            </w:r>
            <w:r w:rsidR="008E15D5">
              <w:rPr>
                <w:noProof/>
                <w:webHidden/>
              </w:rPr>
              <w:tab/>
            </w:r>
            <w:r w:rsidR="008E15D5">
              <w:rPr>
                <w:noProof/>
                <w:webHidden/>
              </w:rPr>
              <w:fldChar w:fldCharType="begin"/>
            </w:r>
            <w:r w:rsidR="008E15D5">
              <w:rPr>
                <w:noProof/>
                <w:webHidden/>
              </w:rPr>
              <w:instrText xml:space="preserve"> PAGEREF _Toc42779175 \h </w:instrText>
            </w:r>
            <w:r w:rsidR="008E15D5">
              <w:rPr>
                <w:noProof/>
                <w:webHidden/>
              </w:rPr>
            </w:r>
            <w:r w:rsidR="008E15D5">
              <w:rPr>
                <w:noProof/>
                <w:webHidden/>
              </w:rPr>
              <w:fldChar w:fldCharType="separate"/>
            </w:r>
            <w:r w:rsidR="00BE0579">
              <w:rPr>
                <w:noProof/>
                <w:webHidden/>
              </w:rPr>
              <w:t>28</w:t>
            </w:r>
            <w:r w:rsidR="008E15D5">
              <w:rPr>
                <w:noProof/>
                <w:webHidden/>
              </w:rPr>
              <w:fldChar w:fldCharType="end"/>
            </w:r>
          </w:hyperlink>
        </w:p>
        <w:p w14:paraId="16554B17" w14:textId="61F4F4D1" w:rsidR="004E7885" w:rsidRPr="004E7885" w:rsidRDefault="006747E0" w:rsidP="004E7885">
          <w:pPr>
            <w:rPr>
              <w:rFonts w:eastAsiaTheme="minorEastAsia" w:cs="Arial"/>
              <w:b/>
              <w:lang w:eastAsia="en-AU"/>
            </w:rPr>
          </w:pPr>
          <w:r>
            <w:rPr>
              <w:rFonts w:eastAsiaTheme="minorEastAsia" w:cs="Arial"/>
              <w:lang w:eastAsia="en-AU"/>
            </w:rPr>
            <w:fldChar w:fldCharType="end"/>
          </w:r>
        </w:p>
      </w:sdtContent>
    </w:sdt>
    <w:p w14:paraId="06C7FE08" w14:textId="36A6433A" w:rsidR="001D5C9C" w:rsidRDefault="001D5C9C" w:rsidP="001D5C9C"/>
    <w:p w14:paraId="236DE7C1" w14:textId="77777777" w:rsidR="00964B22" w:rsidRPr="0021322F" w:rsidRDefault="00964B22" w:rsidP="0021322F">
      <w:pPr>
        <w:sectPr w:rsidR="00964B22" w:rsidRPr="0021322F" w:rsidSect="004E7885">
          <w:headerReference w:type="default" r:id="rId13"/>
          <w:footerReference w:type="default" r:id="rId14"/>
          <w:headerReference w:type="first" r:id="rId15"/>
          <w:footerReference w:type="first" r:id="rId16"/>
          <w:pgSz w:w="11906" w:h="16838" w:code="9"/>
          <w:pgMar w:top="794" w:right="794" w:bottom="794" w:left="794" w:header="794" w:footer="794" w:gutter="0"/>
          <w:cols w:space="708"/>
          <w:titlePg/>
          <w:docGrid w:linePitch="360"/>
        </w:sectPr>
      </w:pPr>
    </w:p>
    <w:p w14:paraId="4AD3BD14" w14:textId="77777777" w:rsidR="00CB560D" w:rsidRPr="00CB560D" w:rsidRDefault="00CB560D" w:rsidP="00CB560D">
      <w:pPr>
        <w:pStyle w:val="Heading1"/>
        <w:rPr>
          <w:lang w:eastAsia="en-AU"/>
        </w:rPr>
      </w:pPr>
      <w:bookmarkStart w:id="0" w:name="_Toc42779147"/>
      <w:r w:rsidRPr="00CB560D">
        <w:rPr>
          <w:lang w:eastAsia="en-AU"/>
        </w:rPr>
        <w:lastRenderedPageBreak/>
        <w:t>Introduction</w:t>
      </w:r>
      <w:bookmarkEnd w:id="0"/>
    </w:p>
    <w:p w14:paraId="38098148" w14:textId="3FAB59BB" w:rsidR="00D61E46" w:rsidRDefault="00CB560D" w:rsidP="00CB560D">
      <w:pPr>
        <w:rPr>
          <w:rFonts w:asciiTheme="minorHAnsi" w:hAnsiTheme="minorHAnsi" w:cs="Arial"/>
        </w:rPr>
      </w:pPr>
      <w:r w:rsidRPr="00CB560D">
        <w:rPr>
          <w:rFonts w:asciiTheme="minorHAnsi" w:hAnsiTheme="minorHAnsi" w:cs="Arial"/>
        </w:rPr>
        <w:t>The</w:t>
      </w:r>
      <w:r w:rsidR="004C5A9A">
        <w:rPr>
          <w:rFonts w:asciiTheme="minorHAnsi" w:hAnsiTheme="minorHAnsi" w:cs="Arial"/>
        </w:rPr>
        <w:t xml:space="preserve"> Northern Territory Government has identified </w:t>
      </w:r>
      <w:r w:rsidR="00D61E46">
        <w:rPr>
          <w:rFonts w:asciiTheme="minorHAnsi" w:hAnsiTheme="minorHAnsi" w:cs="Arial"/>
        </w:rPr>
        <w:t>reforms to the</w:t>
      </w:r>
      <w:r w:rsidR="000A6136">
        <w:rPr>
          <w:rFonts w:asciiTheme="minorHAnsi" w:hAnsiTheme="minorHAnsi" w:cs="Arial"/>
        </w:rPr>
        <w:t xml:space="preserve"> </w:t>
      </w:r>
      <w:r w:rsidR="00D61E46">
        <w:rPr>
          <w:rFonts w:asciiTheme="minorHAnsi" w:hAnsiTheme="minorHAnsi" w:cs="Arial"/>
        </w:rPr>
        <w:t xml:space="preserve">arrangements for the provision of Essential System Services (ESS) in its Northern Territory Electricity Market Priority Reform </w:t>
      </w:r>
      <w:r w:rsidR="00985A35">
        <w:rPr>
          <w:rFonts w:asciiTheme="minorHAnsi" w:hAnsiTheme="minorHAnsi" w:cs="Arial"/>
        </w:rPr>
        <w:t>Program</w:t>
      </w:r>
      <w:r w:rsidR="000A6136">
        <w:rPr>
          <w:rStyle w:val="FootnoteReference"/>
          <w:rFonts w:asciiTheme="minorHAnsi" w:hAnsiTheme="minorHAnsi" w:cs="Arial"/>
        </w:rPr>
        <w:footnoteReference w:id="2"/>
      </w:r>
      <w:r w:rsidR="00736045">
        <w:rPr>
          <w:rFonts w:asciiTheme="minorHAnsi" w:hAnsiTheme="minorHAnsi" w:cs="Arial"/>
        </w:rPr>
        <w:t>.</w:t>
      </w:r>
    </w:p>
    <w:p w14:paraId="36781647" w14:textId="2898471C" w:rsidR="00CB560D" w:rsidRPr="00CB560D" w:rsidRDefault="00CB560D" w:rsidP="00CB560D">
      <w:pPr>
        <w:rPr>
          <w:rFonts w:asciiTheme="minorHAnsi" w:hAnsiTheme="minorHAnsi" w:cs="Arial"/>
        </w:rPr>
      </w:pPr>
      <w:r w:rsidRPr="00CB560D">
        <w:rPr>
          <w:rFonts w:asciiTheme="minorHAnsi" w:hAnsiTheme="minorHAnsi" w:cs="Arial"/>
        </w:rPr>
        <w:t>With the growing uptake of utility scale and behind-the-meter solar PV generation</w:t>
      </w:r>
      <w:r w:rsidR="000A6136">
        <w:rPr>
          <w:rFonts w:asciiTheme="minorHAnsi" w:hAnsiTheme="minorHAnsi" w:cs="Arial"/>
        </w:rPr>
        <w:t xml:space="preserve"> and emergence of new technologies capable of providing ESS</w:t>
      </w:r>
      <w:r w:rsidRPr="00CB560D">
        <w:rPr>
          <w:rFonts w:asciiTheme="minorHAnsi" w:hAnsiTheme="minorHAnsi" w:cs="Arial"/>
        </w:rPr>
        <w:t xml:space="preserve">, it is timely for </w:t>
      </w:r>
      <w:r w:rsidR="000A6136">
        <w:rPr>
          <w:rFonts w:asciiTheme="minorHAnsi" w:hAnsiTheme="minorHAnsi" w:cs="Arial"/>
        </w:rPr>
        <w:t xml:space="preserve">the Territory’s </w:t>
      </w:r>
      <w:r w:rsidRPr="00CB560D">
        <w:rPr>
          <w:rFonts w:asciiTheme="minorHAnsi" w:hAnsiTheme="minorHAnsi" w:cs="Arial"/>
        </w:rPr>
        <w:t xml:space="preserve">arrangements to be reviewed to ensure that ESS delivery </w:t>
      </w:r>
      <w:r w:rsidR="000A6136">
        <w:rPr>
          <w:rFonts w:asciiTheme="minorHAnsi" w:hAnsiTheme="minorHAnsi" w:cs="Arial"/>
        </w:rPr>
        <w:t>is</w:t>
      </w:r>
      <w:r w:rsidRPr="00CB560D">
        <w:rPr>
          <w:rFonts w:asciiTheme="minorHAnsi" w:hAnsiTheme="minorHAnsi" w:cs="Arial"/>
        </w:rPr>
        <w:t xml:space="preserve"> economically efficient and at least cost but with no compromise to system security.</w:t>
      </w:r>
    </w:p>
    <w:p w14:paraId="37FB6BE6" w14:textId="2B9E2AE2" w:rsidR="00CB560D" w:rsidRPr="00CB560D" w:rsidRDefault="00CB560D" w:rsidP="00CB560D">
      <w:pPr>
        <w:rPr>
          <w:rFonts w:asciiTheme="minorHAnsi" w:hAnsiTheme="minorHAnsi" w:cs="Arial"/>
        </w:rPr>
      </w:pPr>
      <w:r w:rsidRPr="00CB560D">
        <w:rPr>
          <w:rFonts w:asciiTheme="minorHAnsi" w:hAnsiTheme="minorHAnsi" w:cs="Arial"/>
        </w:rPr>
        <w:t xml:space="preserve">Reviewing the ESS arrangements will be a complex process and require careful coordination with other reforms being undertaken as part of the Government’s </w:t>
      </w:r>
      <w:r w:rsidR="00D25903">
        <w:rPr>
          <w:rFonts w:asciiTheme="minorHAnsi" w:hAnsiTheme="minorHAnsi" w:cs="Arial"/>
        </w:rPr>
        <w:t>Priority Reform Program</w:t>
      </w:r>
      <w:r w:rsidRPr="00CB560D">
        <w:rPr>
          <w:rFonts w:asciiTheme="minorHAnsi" w:hAnsiTheme="minorHAnsi" w:cs="Arial"/>
        </w:rPr>
        <w:t>.</w:t>
      </w:r>
    </w:p>
    <w:p w14:paraId="436722AF" w14:textId="53A24472" w:rsidR="00CB560D" w:rsidRPr="00CB560D" w:rsidRDefault="00CB560D" w:rsidP="00CB560D">
      <w:pPr>
        <w:rPr>
          <w:rFonts w:asciiTheme="minorHAnsi" w:hAnsiTheme="minorHAnsi" w:cs="Arial"/>
        </w:rPr>
      </w:pPr>
      <w:r w:rsidRPr="00CB560D">
        <w:rPr>
          <w:rFonts w:asciiTheme="minorHAnsi" w:hAnsiTheme="minorHAnsi" w:cs="Arial"/>
        </w:rPr>
        <w:t xml:space="preserve">This paper forms the first part of the </w:t>
      </w:r>
      <w:r w:rsidR="00D25903">
        <w:rPr>
          <w:rFonts w:asciiTheme="minorHAnsi" w:hAnsiTheme="minorHAnsi" w:cs="Arial"/>
        </w:rPr>
        <w:t>Design Development Team</w:t>
      </w:r>
      <w:r w:rsidR="00736045">
        <w:rPr>
          <w:rFonts w:asciiTheme="minorHAnsi" w:hAnsiTheme="minorHAnsi" w:cs="Arial"/>
        </w:rPr>
        <w:t>’s</w:t>
      </w:r>
      <w:r w:rsidRPr="00CB560D">
        <w:rPr>
          <w:rFonts w:asciiTheme="minorHAnsi" w:hAnsiTheme="minorHAnsi" w:cs="Arial"/>
        </w:rPr>
        <w:t xml:space="preserve"> consultation for the review and outlines the background to the review, its scope, and identifies a range of issues on which stakeholder feedback and advice is sought.</w:t>
      </w:r>
    </w:p>
    <w:p w14:paraId="66AA5C07" w14:textId="1A30F919" w:rsidR="00CB560D" w:rsidRPr="00CB560D" w:rsidRDefault="00CB560D" w:rsidP="00CB560D">
      <w:pPr>
        <w:pStyle w:val="Heading2"/>
        <w:keepNext/>
        <w:rPr>
          <w:lang w:eastAsia="en-AU"/>
        </w:rPr>
      </w:pPr>
      <w:bookmarkStart w:id="1" w:name="_Toc42779148"/>
      <w:r w:rsidRPr="00CB560D">
        <w:rPr>
          <w:lang w:eastAsia="en-AU"/>
        </w:rPr>
        <w:t xml:space="preserve">Overview of </w:t>
      </w:r>
      <w:r w:rsidR="00BF70FC">
        <w:rPr>
          <w:lang w:eastAsia="en-AU"/>
        </w:rPr>
        <w:t>c</w:t>
      </w:r>
      <w:r w:rsidRPr="00CB560D">
        <w:rPr>
          <w:lang w:eastAsia="en-AU"/>
        </w:rPr>
        <w:t xml:space="preserve">urrent </w:t>
      </w:r>
      <w:r w:rsidR="00BF70FC">
        <w:rPr>
          <w:lang w:eastAsia="en-AU"/>
        </w:rPr>
        <w:t>a</w:t>
      </w:r>
      <w:r w:rsidRPr="00CB560D">
        <w:rPr>
          <w:lang w:eastAsia="en-AU"/>
        </w:rPr>
        <w:t>rrangements</w:t>
      </w:r>
      <w:bookmarkEnd w:id="1"/>
    </w:p>
    <w:p w14:paraId="30996B2F" w14:textId="77777777" w:rsidR="00CB560D" w:rsidRPr="00CB560D" w:rsidRDefault="00CB560D" w:rsidP="00CB560D">
      <w:pPr>
        <w:rPr>
          <w:rFonts w:asciiTheme="minorHAnsi" w:hAnsiTheme="minorHAnsi" w:cs="Arial"/>
        </w:rPr>
      </w:pPr>
      <w:r w:rsidRPr="00CB560D">
        <w:rPr>
          <w:rFonts w:asciiTheme="minorHAnsi" w:hAnsiTheme="minorHAnsi" w:cs="Arial"/>
        </w:rPr>
        <w:t>Essential System Services (ESS) (also commonly referred to as Ancillary Services) are required in addition to the supply of energy, to support the power system to produce, transmit and distribute power of acceptable quality to consumers and continuously maintain the demand/supply balance during normal and abnormal system conditions.</w:t>
      </w:r>
    </w:p>
    <w:p w14:paraId="08B1C078" w14:textId="37D19AD3" w:rsidR="00CB560D" w:rsidRPr="00CB560D" w:rsidRDefault="00CB560D" w:rsidP="00CB560D">
      <w:pPr>
        <w:rPr>
          <w:rFonts w:asciiTheme="minorHAnsi" w:hAnsiTheme="minorHAnsi" w:cs="Arial"/>
        </w:rPr>
      </w:pPr>
      <w:r w:rsidRPr="00CB560D">
        <w:rPr>
          <w:rFonts w:asciiTheme="minorHAnsi" w:hAnsiTheme="minorHAnsi" w:cs="Arial"/>
        </w:rPr>
        <w:t>ESS can be defined</w:t>
      </w:r>
      <w:r w:rsidR="00D25903">
        <w:rPr>
          <w:rFonts w:asciiTheme="minorHAnsi" w:hAnsiTheme="minorHAnsi" w:cs="Arial"/>
        </w:rPr>
        <w:t xml:space="preserve"> in</w:t>
      </w:r>
      <w:r w:rsidRPr="00CB560D">
        <w:rPr>
          <w:rFonts w:asciiTheme="minorHAnsi" w:hAnsiTheme="minorHAnsi" w:cs="Arial"/>
        </w:rPr>
        <w:t xml:space="preserve"> a number of ways but</w:t>
      </w:r>
      <w:r w:rsidR="00D25903">
        <w:rPr>
          <w:rFonts w:asciiTheme="minorHAnsi" w:hAnsiTheme="minorHAnsi" w:cs="Arial"/>
        </w:rPr>
        <w:t xml:space="preserve"> generally </w:t>
      </w:r>
      <w:r w:rsidRPr="00CB560D">
        <w:rPr>
          <w:rFonts w:asciiTheme="minorHAnsi" w:hAnsiTheme="minorHAnsi" w:cs="Arial"/>
        </w:rPr>
        <w:t xml:space="preserve">fall into three broad categories. </w:t>
      </w:r>
    </w:p>
    <w:p w14:paraId="26317FA1" w14:textId="77777777" w:rsidR="00CB560D" w:rsidRPr="00CB560D" w:rsidRDefault="00CB560D" w:rsidP="00BE0579">
      <w:pPr>
        <w:pStyle w:val="z1BodyTextIn"/>
        <w:keepLines w:val="0"/>
        <w:numPr>
          <w:ilvl w:val="0"/>
          <w:numId w:val="11"/>
        </w:numPr>
        <w:ind w:left="357" w:hanging="357"/>
        <w:jc w:val="left"/>
        <w:rPr>
          <w:rFonts w:ascii="Lato" w:eastAsia="Calibri" w:hAnsi="Lato" w:cs="Arial"/>
          <w:sz w:val="22"/>
          <w:szCs w:val="22"/>
        </w:rPr>
      </w:pPr>
      <w:r w:rsidRPr="00CB560D">
        <w:rPr>
          <w:rFonts w:ascii="Lato" w:eastAsia="Calibri" w:hAnsi="Lato" w:cs="Arial"/>
          <w:i/>
          <w:sz w:val="22"/>
          <w:szCs w:val="22"/>
        </w:rPr>
        <w:t>Frequency Management</w:t>
      </w:r>
      <w:r w:rsidRPr="00CB560D">
        <w:rPr>
          <w:rFonts w:ascii="Lato" w:eastAsia="Calibri" w:hAnsi="Lato" w:cs="Arial"/>
          <w:sz w:val="22"/>
          <w:szCs w:val="22"/>
        </w:rPr>
        <w:t xml:space="preserve"> – to maintain power frequency within acceptable standards at all times. </w:t>
      </w:r>
    </w:p>
    <w:p w14:paraId="53FA1AA1" w14:textId="77777777" w:rsidR="00CB560D" w:rsidRPr="00CB560D" w:rsidRDefault="00CB560D" w:rsidP="00BE0579">
      <w:pPr>
        <w:pStyle w:val="z1BodyTextIn"/>
        <w:keepLines w:val="0"/>
        <w:numPr>
          <w:ilvl w:val="0"/>
          <w:numId w:val="11"/>
        </w:numPr>
        <w:ind w:left="357" w:hanging="357"/>
        <w:jc w:val="left"/>
        <w:rPr>
          <w:rFonts w:ascii="Lato" w:eastAsia="Calibri" w:hAnsi="Lato" w:cs="Arial"/>
          <w:sz w:val="22"/>
          <w:szCs w:val="22"/>
        </w:rPr>
      </w:pPr>
      <w:r w:rsidRPr="00CB560D">
        <w:rPr>
          <w:rFonts w:ascii="Lato" w:eastAsia="Calibri" w:hAnsi="Lato" w:cs="Arial"/>
          <w:i/>
          <w:sz w:val="22"/>
          <w:szCs w:val="22"/>
        </w:rPr>
        <w:t>Voltage Management</w:t>
      </w:r>
      <w:r w:rsidRPr="00CB560D">
        <w:rPr>
          <w:rFonts w:ascii="Lato" w:eastAsia="Calibri" w:hAnsi="Lato" w:cs="Arial"/>
          <w:sz w:val="22"/>
          <w:szCs w:val="22"/>
        </w:rPr>
        <w:t xml:space="preserve"> – to manage voltages at different points of the network, control power flow within the networks’ capacity and maintain stability following disturbances.</w:t>
      </w:r>
    </w:p>
    <w:p w14:paraId="3CDC75D8" w14:textId="77777777" w:rsidR="00CB560D" w:rsidRPr="00CB560D" w:rsidRDefault="00CB560D" w:rsidP="00BE0579">
      <w:pPr>
        <w:pStyle w:val="z1BodyTextIn"/>
        <w:keepLines w:val="0"/>
        <w:numPr>
          <w:ilvl w:val="0"/>
          <w:numId w:val="11"/>
        </w:numPr>
        <w:ind w:left="357" w:hanging="357"/>
        <w:jc w:val="left"/>
        <w:rPr>
          <w:rFonts w:ascii="Lato" w:eastAsia="Calibri" w:hAnsi="Lato" w:cs="Arial"/>
          <w:sz w:val="22"/>
          <w:szCs w:val="22"/>
        </w:rPr>
      </w:pPr>
      <w:r w:rsidRPr="00CB560D">
        <w:rPr>
          <w:rFonts w:ascii="Lato" w:eastAsia="Calibri" w:hAnsi="Lato" w:cs="Arial"/>
          <w:i/>
          <w:sz w:val="22"/>
          <w:szCs w:val="22"/>
        </w:rPr>
        <w:t>Restart Services</w:t>
      </w:r>
      <w:r w:rsidRPr="00CB560D">
        <w:rPr>
          <w:rFonts w:ascii="Lato" w:eastAsia="Calibri" w:hAnsi="Lato" w:cs="Arial"/>
          <w:sz w:val="22"/>
          <w:szCs w:val="22"/>
        </w:rPr>
        <w:t xml:space="preserve"> – to re-establish the power system following a significant event that has resulted in complete (or significant partial) system blackout. </w:t>
      </w:r>
    </w:p>
    <w:p w14:paraId="70A1B3C3" w14:textId="77777777" w:rsidR="00CB560D" w:rsidRPr="00CB560D" w:rsidRDefault="00CB560D" w:rsidP="00CB560D">
      <w:pPr>
        <w:rPr>
          <w:rFonts w:asciiTheme="minorHAnsi" w:hAnsiTheme="minorHAnsi" w:cs="Arial"/>
        </w:rPr>
      </w:pPr>
      <w:r w:rsidRPr="00CB560D">
        <w:rPr>
          <w:rFonts w:asciiTheme="minorHAnsi" w:hAnsiTheme="minorHAnsi" w:cs="Arial"/>
        </w:rPr>
        <w:t>Historically these services have been provided as a beneficial, low cost by-product of the supply of electricity using thermal synchronous generation.</w:t>
      </w:r>
    </w:p>
    <w:p w14:paraId="067A26F2" w14:textId="6DDFF2AC" w:rsidR="00CB560D" w:rsidRPr="00CB560D" w:rsidRDefault="00CB560D" w:rsidP="00CB560D">
      <w:pPr>
        <w:rPr>
          <w:rFonts w:asciiTheme="minorHAnsi" w:hAnsiTheme="minorHAnsi" w:cs="Arial"/>
        </w:rPr>
      </w:pPr>
      <w:r w:rsidRPr="00CB560D">
        <w:rPr>
          <w:rFonts w:asciiTheme="minorHAnsi" w:hAnsiTheme="minorHAnsi" w:cs="Arial"/>
        </w:rPr>
        <w:t>As the generation mix changes to include an increasing amount of non-synchronous generation, such as solar, it has become apparent that these so called ‘ancillary’ services, are in fact ‘essential’. Given this and the increasing demand for ESS with the growing production of electricity from solar, ESS is becoming a material portion of the total cost of power supply.</w:t>
      </w:r>
    </w:p>
    <w:p w14:paraId="1734C2FF" w14:textId="77777777" w:rsidR="00CB560D" w:rsidRPr="00CB560D" w:rsidRDefault="00CB560D" w:rsidP="00CB560D">
      <w:pPr>
        <w:rPr>
          <w:rFonts w:asciiTheme="minorHAnsi" w:hAnsiTheme="minorHAnsi" w:cs="Arial"/>
        </w:rPr>
      </w:pPr>
      <w:r w:rsidRPr="00CB560D">
        <w:rPr>
          <w:rFonts w:asciiTheme="minorHAnsi" w:hAnsiTheme="minorHAnsi" w:cs="Arial"/>
        </w:rPr>
        <w:t>In the Northern Territory, the provision and procurement of ESS are governed by various obligations within the Network Technical Code and Planning Criteria (NTC), the System Control Technical Code (SCTC) and System Secure Guidelines (SSG).</w:t>
      </w:r>
    </w:p>
    <w:p w14:paraId="5E296323" w14:textId="436D90C4" w:rsidR="00CB560D" w:rsidRDefault="00CB560D" w:rsidP="00CB560D">
      <w:pPr>
        <w:rPr>
          <w:rFonts w:asciiTheme="minorHAnsi" w:hAnsiTheme="minorHAnsi" w:cs="Arial"/>
        </w:rPr>
      </w:pPr>
      <w:r w:rsidRPr="00CB560D">
        <w:rPr>
          <w:rFonts w:asciiTheme="minorHAnsi" w:hAnsiTheme="minorHAnsi" w:cs="Arial"/>
        </w:rPr>
        <w:t>Under these instruments, the magnitude of ESS requirements is specified by the System Controller and provided by Territory Generation as a bundled service via a ‘spinning reserve’ regime. Third party licenced generators are required to pay Territory Generation for the provision of these services at a fixed rate per megawatt hour</w:t>
      </w:r>
      <w:r w:rsidR="00D25903">
        <w:rPr>
          <w:rFonts w:asciiTheme="minorHAnsi" w:hAnsiTheme="minorHAnsi" w:cs="Arial"/>
        </w:rPr>
        <w:t xml:space="preserve"> (MWh)</w:t>
      </w:r>
      <w:r w:rsidRPr="00CB560D">
        <w:rPr>
          <w:rFonts w:asciiTheme="minorHAnsi" w:hAnsiTheme="minorHAnsi" w:cs="Arial"/>
        </w:rPr>
        <w:t xml:space="preserve"> of electricity</w:t>
      </w:r>
      <w:r w:rsidR="00985A35" w:rsidRPr="00985A35">
        <w:rPr>
          <w:rFonts w:asciiTheme="minorHAnsi" w:hAnsiTheme="minorHAnsi" w:cs="Arial"/>
        </w:rPr>
        <w:t xml:space="preserve"> </w:t>
      </w:r>
      <w:r w:rsidR="00985A35">
        <w:rPr>
          <w:rFonts w:asciiTheme="minorHAnsi" w:hAnsiTheme="minorHAnsi" w:cs="Arial"/>
        </w:rPr>
        <w:t xml:space="preserve">sent </w:t>
      </w:r>
      <w:r w:rsidR="00985A35" w:rsidRPr="00CB560D">
        <w:rPr>
          <w:rFonts w:asciiTheme="minorHAnsi" w:hAnsiTheme="minorHAnsi" w:cs="Arial"/>
        </w:rPr>
        <w:t>out</w:t>
      </w:r>
      <w:r w:rsidRPr="00CB560D">
        <w:rPr>
          <w:rFonts w:asciiTheme="minorHAnsi" w:hAnsiTheme="minorHAnsi" w:cs="Arial"/>
        </w:rPr>
        <w:t>.</w:t>
      </w:r>
    </w:p>
    <w:p w14:paraId="74CD1FE3" w14:textId="77777777" w:rsidR="000A6136" w:rsidRPr="008218E4" w:rsidRDefault="000A6136" w:rsidP="008218E4">
      <w:pPr>
        <w:pStyle w:val="Heading2"/>
        <w:keepNext/>
        <w:rPr>
          <w:lang w:eastAsia="en-AU"/>
        </w:rPr>
      </w:pPr>
      <w:bookmarkStart w:id="2" w:name="_Toc42779149"/>
      <w:r w:rsidRPr="008218E4">
        <w:rPr>
          <w:lang w:eastAsia="en-AU"/>
        </w:rPr>
        <w:lastRenderedPageBreak/>
        <w:t>Review scope</w:t>
      </w:r>
      <w:bookmarkEnd w:id="2"/>
    </w:p>
    <w:p w14:paraId="7C4D3010" w14:textId="048CE183" w:rsidR="000A6136" w:rsidRPr="00F73889" w:rsidRDefault="000A6136" w:rsidP="000A6136">
      <w:pPr>
        <w:rPr>
          <w:rFonts w:cs="Arial"/>
        </w:rPr>
      </w:pPr>
      <w:r>
        <w:rPr>
          <w:rFonts w:asciiTheme="minorHAnsi" w:hAnsiTheme="minorHAnsi" w:cs="Arial"/>
        </w:rPr>
        <w:t>As identified in the Government’s</w:t>
      </w:r>
      <w:r w:rsidR="00C67669">
        <w:rPr>
          <w:rFonts w:asciiTheme="minorHAnsi" w:hAnsiTheme="minorHAnsi" w:cs="Arial"/>
        </w:rPr>
        <w:t xml:space="preserve"> Priority Reform Program</w:t>
      </w:r>
      <w:r>
        <w:rPr>
          <w:rFonts w:asciiTheme="minorHAnsi" w:hAnsiTheme="minorHAnsi" w:cs="Arial"/>
        </w:rPr>
        <w:t>, the proposed changes to ESS arrangements are:</w:t>
      </w:r>
    </w:p>
    <w:p w14:paraId="3839C588" w14:textId="77777777" w:rsidR="000A6136" w:rsidRPr="00F73889" w:rsidRDefault="000A6136" w:rsidP="000A6136">
      <w:pPr>
        <w:pStyle w:val="ListParagraph"/>
        <w:numPr>
          <w:ilvl w:val="0"/>
          <w:numId w:val="22"/>
        </w:numPr>
        <w:ind w:left="426"/>
        <w:rPr>
          <w:rFonts w:eastAsia="Calibri" w:cs="Arial"/>
          <w:iCs w:val="0"/>
        </w:rPr>
      </w:pPr>
      <w:r w:rsidRPr="00F73889">
        <w:rPr>
          <w:rFonts w:eastAsia="Calibri" w:cs="Arial"/>
          <w:iCs w:val="0"/>
        </w:rPr>
        <w:t>updating the quantum of the rate paid to Territory Generation</w:t>
      </w:r>
      <w:r w:rsidR="00D25903">
        <w:rPr>
          <w:rFonts w:eastAsia="Calibri" w:cs="Arial"/>
          <w:iCs w:val="0"/>
        </w:rPr>
        <w:t xml:space="preserve"> for ESS</w:t>
      </w:r>
      <w:r w:rsidRPr="00F73889">
        <w:rPr>
          <w:rFonts w:eastAsia="Calibri" w:cs="Arial"/>
          <w:iCs w:val="0"/>
        </w:rPr>
        <w:t xml:space="preserve"> by other generators</w:t>
      </w:r>
    </w:p>
    <w:p w14:paraId="1B5BC5A7" w14:textId="77777777" w:rsidR="000A6136" w:rsidRPr="00F73889" w:rsidRDefault="000A6136" w:rsidP="000A6136">
      <w:pPr>
        <w:pStyle w:val="ListParagraph"/>
        <w:numPr>
          <w:ilvl w:val="0"/>
          <w:numId w:val="22"/>
        </w:numPr>
        <w:ind w:left="425" w:hanging="357"/>
        <w:rPr>
          <w:rFonts w:eastAsia="Calibri" w:cs="Arial"/>
          <w:iCs w:val="0"/>
        </w:rPr>
      </w:pPr>
      <w:r w:rsidRPr="00F73889">
        <w:rPr>
          <w:rFonts w:eastAsia="Calibri" w:cs="Arial"/>
          <w:iCs w:val="0"/>
        </w:rPr>
        <w:t xml:space="preserve">codifying </w:t>
      </w:r>
      <w:r>
        <w:rPr>
          <w:rFonts w:eastAsia="Calibri" w:cs="Arial"/>
          <w:iCs w:val="0"/>
        </w:rPr>
        <w:t>the process</w:t>
      </w:r>
      <w:r w:rsidRPr="00F73889">
        <w:rPr>
          <w:rFonts w:eastAsia="Calibri" w:cs="Arial"/>
          <w:iCs w:val="0"/>
        </w:rPr>
        <w:t xml:space="preserve"> for reviewing and updating the quantum of the rate to ensure the rate remains up to date</w:t>
      </w:r>
    </w:p>
    <w:p w14:paraId="2ABA69F1" w14:textId="77777777" w:rsidR="000A6136" w:rsidRPr="00F73889" w:rsidRDefault="000A6136" w:rsidP="000A6136">
      <w:pPr>
        <w:pStyle w:val="ListParagraph"/>
        <w:numPr>
          <w:ilvl w:val="0"/>
          <w:numId w:val="22"/>
        </w:numPr>
        <w:ind w:left="426"/>
        <w:rPr>
          <w:rFonts w:eastAsia="Calibri" w:cs="Arial"/>
          <w:iCs w:val="0"/>
        </w:rPr>
      </w:pPr>
      <w:r w:rsidRPr="00F73889">
        <w:rPr>
          <w:rFonts w:eastAsia="Calibri" w:cs="Arial"/>
          <w:iCs w:val="0"/>
        </w:rPr>
        <w:t>improving the transparency of costs for individual and categories of services captured in the rate</w:t>
      </w:r>
      <w:r>
        <w:rPr>
          <w:rFonts w:eastAsia="Calibri" w:cs="Arial"/>
          <w:iCs w:val="0"/>
        </w:rPr>
        <w:t>, such as by defining and separately costing each essential system service required</w:t>
      </w:r>
    </w:p>
    <w:p w14:paraId="4C7F06F6" w14:textId="77777777" w:rsidR="000A6136" w:rsidRPr="000A6136" w:rsidRDefault="000A6136" w:rsidP="000A6136">
      <w:pPr>
        <w:rPr>
          <w:rFonts w:asciiTheme="minorHAnsi" w:hAnsiTheme="minorHAnsi" w:cs="Arial"/>
        </w:rPr>
      </w:pPr>
      <w:r w:rsidRPr="000A6136">
        <w:rPr>
          <w:rFonts w:asciiTheme="minorHAnsi" w:hAnsiTheme="minorHAnsi" w:cs="Arial"/>
        </w:rPr>
        <w:t>In addition to the impleme</w:t>
      </w:r>
      <w:r>
        <w:rPr>
          <w:rFonts w:asciiTheme="minorHAnsi" w:hAnsiTheme="minorHAnsi" w:cs="Arial"/>
        </w:rPr>
        <w:t>ntation of changes to the provision of ESS</w:t>
      </w:r>
      <w:r w:rsidRPr="000A6136">
        <w:rPr>
          <w:rFonts w:asciiTheme="minorHAnsi" w:hAnsiTheme="minorHAnsi" w:cs="Arial"/>
        </w:rPr>
        <w:t xml:space="preserve"> by Territory Generation, the Northern Territory Government recognises that there may be benefits from contestability in the provision of essential system services.</w:t>
      </w:r>
    </w:p>
    <w:p w14:paraId="403ADEFD" w14:textId="77777777" w:rsidR="000A6136" w:rsidRPr="00CB560D" w:rsidRDefault="000A6136" w:rsidP="00CB560D">
      <w:pPr>
        <w:rPr>
          <w:rFonts w:asciiTheme="minorHAnsi" w:hAnsiTheme="minorHAnsi" w:cs="Arial"/>
        </w:rPr>
      </w:pPr>
      <w:r w:rsidRPr="000A6136">
        <w:rPr>
          <w:rFonts w:asciiTheme="minorHAnsi" w:hAnsiTheme="minorHAnsi" w:cs="Arial"/>
        </w:rPr>
        <w:t xml:space="preserve">In reviewing essential system services, the Design Development Team will review potential arrangements for the market provision of </w:t>
      </w:r>
      <w:r w:rsidR="00D25903">
        <w:rPr>
          <w:rFonts w:asciiTheme="minorHAnsi" w:hAnsiTheme="minorHAnsi" w:cs="Arial"/>
        </w:rPr>
        <w:t>ESS</w:t>
      </w:r>
      <w:r w:rsidRPr="000A6136">
        <w:rPr>
          <w:rFonts w:asciiTheme="minorHAnsi" w:hAnsiTheme="minorHAnsi" w:cs="Arial"/>
        </w:rPr>
        <w:t xml:space="preserve"> in the Territory’s regulated electricity systems (Darwin-Katherine, Alice Springs and Tennant Creek).</w:t>
      </w:r>
    </w:p>
    <w:p w14:paraId="2D895EA9" w14:textId="77777777" w:rsidR="00CB560D" w:rsidRPr="00CB560D" w:rsidRDefault="00CB560D" w:rsidP="00CB560D">
      <w:pPr>
        <w:pStyle w:val="Heading2"/>
        <w:keepNext/>
        <w:rPr>
          <w:lang w:eastAsia="en-AU"/>
        </w:rPr>
      </w:pPr>
      <w:bookmarkStart w:id="3" w:name="_Toc42779150"/>
      <w:r w:rsidRPr="00CB560D">
        <w:rPr>
          <w:lang w:eastAsia="en-AU"/>
        </w:rPr>
        <w:t>Background and context</w:t>
      </w:r>
      <w:bookmarkEnd w:id="3"/>
    </w:p>
    <w:p w14:paraId="0A014F91" w14:textId="77777777" w:rsidR="00CB560D" w:rsidRPr="00CB560D" w:rsidRDefault="00CB560D" w:rsidP="00CB560D">
      <w:pPr>
        <w:rPr>
          <w:rFonts w:asciiTheme="minorHAnsi" w:hAnsiTheme="minorHAnsi" w:cs="Arial"/>
        </w:rPr>
      </w:pPr>
      <w:r w:rsidRPr="00CB560D">
        <w:rPr>
          <w:rFonts w:asciiTheme="minorHAnsi" w:hAnsiTheme="minorHAnsi" w:cs="Arial"/>
        </w:rPr>
        <w:t>The Northern Territory Government is committed to producing 50 per cent renewable energy by 2030 for electricity consumed by Territory households and businesses, while at the same time ensuring secure and reliable electricity at least cost to consumers and taxpayers.</w:t>
      </w:r>
    </w:p>
    <w:p w14:paraId="7F5DC6D6" w14:textId="73C0BDE2" w:rsidR="003B21C2" w:rsidRPr="00CB560D" w:rsidRDefault="00CB560D" w:rsidP="00CB560D">
      <w:pPr>
        <w:rPr>
          <w:rFonts w:asciiTheme="minorHAnsi" w:hAnsiTheme="minorHAnsi" w:cs="Arial"/>
        </w:rPr>
      </w:pPr>
      <w:r w:rsidRPr="00CB560D">
        <w:rPr>
          <w:rFonts w:asciiTheme="minorHAnsi" w:hAnsiTheme="minorHAnsi" w:cs="Arial"/>
        </w:rPr>
        <w:t>The transition to 50 per cent renewable energy by 2030 is well underway with small</w:t>
      </w:r>
      <w:r w:rsidRPr="00CB560D">
        <w:rPr>
          <w:rFonts w:asciiTheme="minorHAnsi" w:hAnsiTheme="minorHAnsi" w:cs="Arial"/>
        </w:rPr>
        <w:noBreakHyphen/>
        <w:t>scale solar PV generation already providing significant contributions to the energy supply and large</w:t>
      </w:r>
      <w:r w:rsidR="00D25903">
        <w:rPr>
          <w:rFonts w:asciiTheme="minorHAnsi" w:hAnsiTheme="minorHAnsi" w:cs="Arial"/>
        </w:rPr>
        <w:noBreakHyphen/>
      </w:r>
      <w:r w:rsidRPr="00CB560D">
        <w:rPr>
          <w:rFonts w:asciiTheme="minorHAnsi" w:hAnsiTheme="minorHAnsi" w:cs="Arial"/>
        </w:rPr>
        <w:t xml:space="preserve">scale solar PV systems beginning to emerge. </w:t>
      </w:r>
      <w:r w:rsidR="003B21C2" w:rsidRPr="003B21C2">
        <w:rPr>
          <w:rFonts w:asciiTheme="minorHAnsi" w:hAnsiTheme="minorHAnsi" w:cs="Arial"/>
        </w:rPr>
        <w:t xml:space="preserve">With current and committed large scale solar projects planned for construction </w:t>
      </w:r>
      <w:r w:rsidR="00C6403C">
        <w:rPr>
          <w:rFonts w:asciiTheme="minorHAnsi" w:hAnsiTheme="minorHAnsi" w:cs="Arial"/>
        </w:rPr>
        <w:t>in 20</w:t>
      </w:r>
      <w:r w:rsidR="003B21C2" w:rsidRPr="003B21C2">
        <w:rPr>
          <w:rFonts w:asciiTheme="minorHAnsi" w:hAnsiTheme="minorHAnsi" w:cs="Arial"/>
        </w:rPr>
        <w:t>20, and projected residential and commercial rooftop solar system installations, renewable energy is expected to supply up to 16 per cent of electricity consumption by the end of 2020.</w:t>
      </w:r>
    </w:p>
    <w:p w14:paraId="5A1361D6" w14:textId="39F87AE2" w:rsidR="00E21E25" w:rsidRPr="00BE0579" w:rsidRDefault="00E21E25" w:rsidP="00BE0579">
      <w:pPr>
        <w:pStyle w:val="Heading3"/>
      </w:pPr>
      <w:r w:rsidRPr="00BE0579">
        <w:t>The need for change</w:t>
      </w:r>
    </w:p>
    <w:p w14:paraId="349D2D9A" w14:textId="77777777" w:rsidR="00E21E25" w:rsidRPr="00CB560D" w:rsidRDefault="00E21E25" w:rsidP="00E21E25">
      <w:pPr>
        <w:rPr>
          <w:rFonts w:asciiTheme="minorHAnsi" w:hAnsiTheme="minorHAnsi" w:cs="Arial"/>
        </w:rPr>
      </w:pPr>
      <w:r w:rsidRPr="00CB560D">
        <w:rPr>
          <w:rFonts w:asciiTheme="minorHAnsi" w:hAnsiTheme="minorHAnsi" w:cs="Arial"/>
        </w:rPr>
        <w:t>The increased uptake of solar PV presents two challenges for the maintenance of adequate ESS to maintain system security:</w:t>
      </w:r>
    </w:p>
    <w:p w14:paraId="0CEB4524" w14:textId="31D8BF1A" w:rsidR="00E21E25" w:rsidRPr="00CB560D" w:rsidRDefault="00E21E25" w:rsidP="00E21E25">
      <w:pPr>
        <w:pStyle w:val="ListParagraph"/>
        <w:numPr>
          <w:ilvl w:val="0"/>
          <w:numId w:val="12"/>
        </w:numPr>
        <w:spacing w:before="200"/>
        <w:ind w:left="426"/>
        <w:rPr>
          <w:rFonts w:cs="Arial"/>
        </w:rPr>
      </w:pPr>
      <w:r w:rsidRPr="00CB560D">
        <w:rPr>
          <w:rFonts w:cs="Arial"/>
        </w:rPr>
        <w:t>solar output requires additional ESS to manage its higher level of variability</w:t>
      </w:r>
    </w:p>
    <w:p w14:paraId="38C8218A" w14:textId="63281C5D" w:rsidR="00E21E25" w:rsidRPr="00CB560D" w:rsidRDefault="00E21E25" w:rsidP="00E21E25">
      <w:pPr>
        <w:pStyle w:val="ListParagraph"/>
        <w:numPr>
          <w:ilvl w:val="0"/>
          <w:numId w:val="12"/>
        </w:numPr>
        <w:spacing w:before="200"/>
        <w:ind w:left="426"/>
        <w:rPr>
          <w:rFonts w:cs="Arial"/>
        </w:rPr>
      </w:pPr>
      <w:proofErr w:type="gramStart"/>
      <w:r w:rsidRPr="00CB560D">
        <w:rPr>
          <w:rFonts w:cs="Arial"/>
        </w:rPr>
        <w:t>solar</w:t>
      </w:r>
      <w:proofErr w:type="gramEnd"/>
      <w:r w:rsidRPr="00CB560D">
        <w:rPr>
          <w:rFonts w:cs="Arial"/>
        </w:rPr>
        <w:t xml:space="preserve"> output displaces the gas-fired synchronous generation plant that inherently provides the ESS needed.</w:t>
      </w:r>
    </w:p>
    <w:p w14:paraId="70BB6C18" w14:textId="444182E2" w:rsidR="00A3123A" w:rsidRDefault="00E21E25" w:rsidP="00E21E25">
      <w:pPr>
        <w:rPr>
          <w:rFonts w:asciiTheme="minorHAnsi" w:hAnsiTheme="minorHAnsi" w:cs="Arial"/>
        </w:rPr>
      </w:pPr>
      <w:r w:rsidRPr="00CB560D">
        <w:rPr>
          <w:rFonts w:asciiTheme="minorHAnsi" w:hAnsiTheme="minorHAnsi" w:cs="Arial"/>
        </w:rPr>
        <w:t xml:space="preserve">The above challenges </w:t>
      </w:r>
      <w:r w:rsidR="006A6F0F">
        <w:rPr>
          <w:rFonts w:asciiTheme="minorHAnsi" w:hAnsiTheme="minorHAnsi" w:cs="Arial"/>
        </w:rPr>
        <w:t xml:space="preserve">will </w:t>
      </w:r>
      <w:r w:rsidRPr="00CB560D">
        <w:rPr>
          <w:rFonts w:asciiTheme="minorHAnsi" w:hAnsiTheme="minorHAnsi" w:cs="Arial"/>
        </w:rPr>
        <w:t>result in a need to maintain higher levels of ESS</w:t>
      </w:r>
      <w:r w:rsidR="006A6F0F">
        <w:rPr>
          <w:rFonts w:asciiTheme="minorHAnsi" w:hAnsiTheme="minorHAnsi" w:cs="Arial"/>
        </w:rPr>
        <w:t xml:space="preserve"> in the future</w:t>
      </w:r>
      <w:r w:rsidR="00D1349E">
        <w:rPr>
          <w:rFonts w:asciiTheme="minorHAnsi" w:hAnsiTheme="minorHAnsi" w:cs="Arial"/>
        </w:rPr>
        <w:t xml:space="preserve"> not associated with or required for energy production.</w:t>
      </w:r>
    </w:p>
    <w:p w14:paraId="59B175D4" w14:textId="2046F4A4" w:rsidR="00E21E25" w:rsidRPr="00CB560D" w:rsidRDefault="00E21E25" w:rsidP="0021322F">
      <w:pPr>
        <w:keepNext/>
        <w:rPr>
          <w:rFonts w:asciiTheme="minorHAnsi" w:hAnsiTheme="minorHAnsi" w:cs="Arial"/>
        </w:rPr>
      </w:pPr>
      <w:r w:rsidRPr="00CB560D">
        <w:rPr>
          <w:rFonts w:asciiTheme="minorHAnsi" w:hAnsiTheme="minorHAnsi" w:cs="Arial"/>
        </w:rPr>
        <w:t>The challenges posed by the increased solar penetration have exposed short</w:t>
      </w:r>
      <w:r w:rsidR="000B605F">
        <w:rPr>
          <w:rFonts w:asciiTheme="minorHAnsi" w:hAnsiTheme="minorHAnsi" w:cs="Arial"/>
        </w:rPr>
        <w:t>comings</w:t>
      </w:r>
      <w:r w:rsidRPr="00CB560D">
        <w:rPr>
          <w:rFonts w:asciiTheme="minorHAnsi" w:hAnsiTheme="minorHAnsi" w:cs="Arial"/>
        </w:rPr>
        <w:t xml:space="preserve"> in the Territory’s current ESS arrangements</w:t>
      </w:r>
      <w:r w:rsidR="00D1349E">
        <w:rPr>
          <w:rFonts w:asciiTheme="minorHAnsi" w:hAnsiTheme="minorHAnsi" w:cs="Arial"/>
        </w:rPr>
        <w:t>.</w:t>
      </w:r>
    </w:p>
    <w:p w14:paraId="080218E4" w14:textId="77777777" w:rsidR="00E21E25" w:rsidRPr="00CB560D" w:rsidRDefault="00E21E25" w:rsidP="00E21E25">
      <w:pPr>
        <w:pStyle w:val="ListParagraph"/>
        <w:numPr>
          <w:ilvl w:val="0"/>
          <w:numId w:val="12"/>
        </w:numPr>
        <w:spacing w:before="200"/>
        <w:ind w:left="426"/>
        <w:rPr>
          <w:rFonts w:cs="Arial"/>
        </w:rPr>
      </w:pPr>
      <w:r w:rsidRPr="00CB560D">
        <w:rPr>
          <w:rFonts w:cs="Arial"/>
        </w:rPr>
        <w:t>The increased requirements for ESS result in higher costs of maintaining adequate levels of ESS using existing technologies.</w:t>
      </w:r>
    </w:p>
    <w:p w14:paraId="53819242" w14:textId="26A17B13" w:rsidR="00E21E25" w:rsidRPr="00CB560D" w:rsidRDefault="00E21E25" w:rsidP="00E21E25">
      <w:pPr>
        <w:pStyle w:val="ListParagraph"/>
        <w:numPr>
          <w:ilvl w:val="0"/>
          <w:numId w:val="12"/>
        </w:numPr>
        <w:spacing w:before="200"/>
        <w:ind w:left="426"/>
        <w:rPr>
          <w:rFonts w:cs="Arial"/>
        </w:rPr>
      </w:pPr>
      <w:r w:rsidRPr="00CB560D">
        <w:rPr>
          <w:rFonts w:cs="Arial"/>
        </w:rPr>
        <w:t>The historic inherent provision of ESS as a by-product of electricity produced by thermal synchronous generators means that individual ESS have not been adequately defined or specified.</w:t>
      </w:r>
    </w:p>
    <w:p w14:paraId="2CD4C6FE" w14:textId="77777777" w:rsidR="00E21E25" w:rsidRPr="00CB560D" w:rsidRDefault="00E21E25" w:rsidP="00E21E25">
      <w:pPr>
        <w:pStyle w:val="ListParagraph"/>
        <w:numPr>
          <w:ilvl w:val="0"/>
          <w:numId w:val="12"/>
        </w:numPr>
        <w:spacing w:before="200"/>
        <w:ind w:left="426"/>
        <w:rPr>
          <w:rFonts w:cs="Arial"/>
        </w:rPr>
      </w:pPr>
      <w:r w:rsidRPr="00CB560D">
        <w:rPr>
          <w:rFonts w:cs="Arial"/>
        </w:rPr>
        <w:t>The monopoly provision of ESS by Territory Generation forgoes opportunities for the provision of ESS by other, potentially lower cost, providers.</w:t>
      </w:r>
    </w:p>
    <w:p w14:paraId="79E2D004" w14:textId="68ADB517" w:rsidR="00E21E25" w:rsidRPr="00CB560D" w:rsidRDefault="00E21E25" w:rsidP="00E21E25">
      <w:pPr>
        <w:pStyle w:val="ListParagraph"/>
        <w:numPr>
          <w:ilvl w:val="0"/>
          <w:numId w:val="12"/>
        </w:numPr>
        <w:spacing w:before="200"/>
        <w:ind w:left="426"/>
        <w:rPr>
          <w:rFonts w:cs="Arial"/>
        </w:rPr>
      </w:pPr>
      <w:r w:rsidRPr="00CB560D">
        <w:rPr>
          <w:rFonts w:cs="Arial"/>
        </w:rPr>
        <w:lastRenderedPageBreak/>
        <w:t>The current definitions and specifications of ESS preclude other, potentially lower cost, technologies from providing ESS, including large- and small</w:t>
      </w:r>
      <w:r w:rsidRPr="00CB560D">
        <w:rPr>
          <w:rFonts w:cs="Arial"/>
        </w:rPr>
        <w:noBreakHyphen/>
        <w:t>scale solar PV and batteries.</w:t>
      </w:r>
    </w:p>
    <w:p w14:paraId="0D53302D" w14:textId="77777777" w:rsidR="00E21E25" w:rsidRPr="00CB560D" w:rsidRDefault="00E21E25" w:rsidP="00E21E25">
      <w:pPr>
        <w:rPr>
          <w:rFonts w:asciiTheme="minorHAnsi" w:hAnsiTheme="minorHAnsi" w:cs="Arial"/>
        </w:rPr>
      </w:pPr>
      <w:r w:rsidRPr="00CB560D">
        <w:rPr>
          <w:rFonts w:asciiTheme="minorHAnsi" w:hAnsiTheme="minorHAnsi" w:cs="Arial"/>
        </w:rPr>
        <w:t xml:space="preserve">Although at present, the Territory’s installed gas-fired generation fleet provides sufficient services to provide the required ESS, it does so at a high cost. There will also become a point when the existing generation will not have sufficient capability to maintain system security and reforms of the ESS arrangements will become critical. </w:t>
      </w:r>
    </w:p>
    <w:p w14:paraId="4B6BF89A" w14:textId="576B47C7" w:rsidR="00CB560D" w:rsidRPr="00CB560D" w:rsidRDefault="00CB560D" w:rsidP="00BE0579">
      <w:pPr>
        <w:pStyle w:val="Heading3"/>
      </w:pPr>
      <w:r w:rsidRPr="00CB560D">
        <w:t xml:space="preserve">Relationship with </w:t>
      </w:r>
      <w:r w:rsidR="00326298">
        <w:t>the Northern Territory Electricity Market Priority Reform Program</w:t>
      </w:r>
    </w:p>
    <w:p w14:paraId="082D0603" w14:textId="7E4E9AD6" w:rsidR="00CB560D" w:rsidRPr="00CB560D" w:rsidRDefault="00CB560D" w:rsidP="00CB560D">
      <w:pPr>
        <w:rPr>
          <w:rFonts w:asciiTheme="minorHAnsi" w:hAnsiTheme="minorHAnsi" w:cs="Arial"/>
        </w:rPr>
      </w:pPr>
      <w:r w:rsidRPr="00CB560D">
        <w:rPr>
          <w:rFonts w:asciiTheme="minorHAnsi" w:hAnsiTheme="minorHAnsi" w:cs="Arial"/>
        </w:rPr>
        <w:t xml:space="preserve">The increasing diversity of the Territory’s electricity systems, in terms of technologies and participants, is being facilitated by implementation of </w:t>
      </w:r>
      <w:r w:rsidR="00D61921">
        <w:rPr>
          <w:rFonts w:asciiTheme="minorHAnsi" w:hAnsiTheme="minorHAnsi" w:cs="Arial"/>
        </w:rPr>
        <w:t>the Northern Territory Electricity Market</w:t>
      </w:r>
      <w:r w:rsidR="00D1349E">
        <w:rPr>
          <w:rFonts w:asciiTheme="minorHAnsi" w:hAnsiTheme="minorHAnsi" w:cs="Arial"/>
        </w:rPr>
        <w:t xml:space="preserve"> Priority</w:t>
      </w:r>
      <w:r w:rsidR="00D61921">
        <w:rPr>
          <w:rFonts w:asciiTheme="minorHAnsi" w:hAnsiTheme="minorHAnsi" w:cs="Arial"/>
        </w:rPr>
        <w:t xml:space="preserve"> Reform Program</w:t>
      </w:r>
      <w:r w:rsidRPr="00CB560D">
        <w:rPr>
          <w:rFonts w:asciiTheme="minorHAnsi" w:hAnsiTheme="minorHAnsi" w:cs="Arial"/>
        </w:rPr>
        <w:t xml:space="preserve">, </w:t>
      </w:r>
      <w:r w:rsidR="00170598">
        <w:rPr>
          <w:rFonts w:asciiTheme="minorHAnsi" w:hAnsiTheme="minorHAnsi" w:cs="Arial"/>
        </w:rPr>
        <w:t>of which this review of ESS arrangements forms part. The other k</w:t>
      </w:r>
      <w:r w:rsidR="007E5B41">
        <w:rPr>
          <w:rFonts w:asciiTheme="minorHAnsi" w:hAnsiTheme="minorHAnsi" w:cs="Arial"/>
        </w:rPr>
        <w:t>ey reforms</w:t>
      </w:r>
      <w:r w:rsidR="00D61921">
        <w:rPr>
          <w:rFonts w:asciiTheme="minorHAnsi" w:hAnsiTheme="minorHAnsi" w:cs="Arial"/>
        </w:rPr>
        <w:t xml:space="preserve"> to the current Interim Northern Territory Electricity Market (I-NTEM) which has operated</w:t>
      </w:r>
      <w:r w:rsidR="000B605F">
        <w:rPr>
          <w:rFonts w:asciiTheme="minorHAnsi" w:hAnsiTheme="minorHAnsi" w:cs="Arial"/>
        </w:rPr>
        <w:t xml:space="preserve"> in the Darwin-Katherine system</w:t>
      </w:r>
      <w:r w:rsidR="00D61921">
        <w:rPr>
          <w:rFonts w:asciiTheme="minorHAnsi" w:hAnsiTheme="minorHAnsi" w:cs="Arial"/>
        </w:rPr>
        <w:t xml:space="preserve"> since 2015,</w:t>
      </w:r>
      <w:r w:rsidR="00170598">
        <w:rPr>
          <w:rFonts w:asciiTheme="minorHAnsi" w:hAnsiTheme="minorHAnsi" w:cs="Arial"/>
        </w:rPr>
        <w:t xml:space="preserve"> </w:t>
      </w:r>
      <w:r w:rsidR="00516232">
        <w:rPr>
          <w:rFonts w:asciiTheme="minorHAnsi" w:hAnsiTheme="minorHAnsi" w:cs="Arial"/>
        </w:rPr>
        <w:t>are:</w:t>
      </w:r>
    </w:p>
    <w:p w14:paraId="424C614E" w14:textId="47DD5429" w:rsidR="00516232" w:rsidRDefault="00516232" w:rsidP="008218E4">
      <w:pPr>
        <w:pStyle w:val="ListParagraph"/>
        <w:numPr>
          <w:ilvl w:val="0"/>
          <w:numId w:val="12"/>
        </w:numPr>
        <w:spacing w:before="200"/>
        <w:ind w:left="426"/>
        <w:rPr>
          <w:rFonts w:cs="Arial"/>
        </w:rPr>
      </w:pPr>
      <w:r>
        <w:rPr>
          <w:rFonts w:cs="Arial"/>
        </w:rPr>
        <w:t xml:space="preserve">establishing a </w:t>
      </w:r>
      <w:r w:rsidRPr="00516232">
        <w:rPr>
          <w:rFonts w:cs="Arial"/>
        </w:rPr>
        <w:t>reliability standard and associated framework for ensuring the standard is met</w:t>
      </w:r>
    </w:p>
    <w:p w14:paraId="66235122" w14:textId="119B61F7" w:rsidR="00CB560D" w:rsidRPr="00CB560D" w:rsidRDefault="00CB560D" w:rsidP="00CB560D">
      <w:pPr>
        <w:pStyle w:val="ListParagraph"/>
        <w:numPr>
          <w:ilvl w:val="0"/>
          <w:numId w:val="12"/>
        </w:numPr>
        <w:spacing w:before="200"/>
        <w:ind w:left="426"/>
        <w:rPr>
          <w:rFonts w:cs="Arial"/>
        </w:rPr>
      </w:pPr>
      <w:r w:rsidRPr="00CB560D">
        <w:rPr>
          <w:rFonts w:cs="Arial"/>
        </w:rPr>
        <w:t xml:space="preserve">changes to dispatch arrangements to improve the efficiency of generator dispatch in the context of </w:t>
      </w:r>
      <w:r w:rsidR="00D1349E">
        <w:rPr>
          <w:rFonts w:cs="Arial"/>
        </w:rPr>
        <w:t>significant</w:t>
      </w:r>
      <w:r w:rsidRPr="00CB560D">
        <w:rPr>
          <w:rFonts w:cs="Arial"/>
        </w:rPr>
        <w:t xml:space="preserve"> intermittent solar generat</w:t>
      </w:r>
      <w:r w:rsidR="00D1349E">
        <w:rPr>
          <w:rFonts w:cs="Arial"/>
        </w:rPr>
        <w:t>ion</w:t>
      </w:r>
    </w:p>
    <w:p w14:paraId="73EC6CE6" w14:textId="46DBDC10" w:rsidR="00CB560D" w:rsidRPr="00CB560D" w:rsidRDefault="00CB560D" w:rsidP="00CB560D">
      <w:pPr>
        <w:pStyle w:val="ListParagraph"/>
        <w:numPr>
          <w:ilvl w:val="0"/>
          <w:numId w:val="12"/>
        </w:numPr>
        <w:spacing w:before="200"/>
        <w:ind w:left="426"/>
        <w:rPr>
          <w:rFonts w:cs="Arial"/>
        </w:rPr>
      </w:pPr>
      <w:proofErr w:type="gramStart"/>
      <w:r w:rsidRPr="00CB560D">
        <w:rPr>
          <w:rFonts w:cs="Arial"/>
        </w:rPr>
        <w:t>introduction</w:t>
      </w:r>
      <w:proofErr w:type="gramEnd"/>
      <w:r w:rsidRPr="00CB560D">
        <w:rPr>
          <w:rFonts w:cs="Arial"/>
        </w:rPr>
        <w:t xml:space="preserve"> of centralised financial settlement for the energy market to accommodate a range of foreseeable types of contractual arrangements between generators and retailers</w:t>
      </w:r>
      <w:r w:rsidR="00D1349E">
        <w:rPr>
          <w:rFonts w:cs="Arial"/>
        </w:rPr>
        <w:t>.</w:t>
      </w:r>
    </w:p>
    <w:p w14:paraId="501AB4CE" w14:textId="6C787D95" w:rsidR="007E5B41" w:rsidRPr="00CB560D" w:rsidRDefault="007E5B41" w:rsidP="007E5B41">
      <w:pPr>
        <w:rPr>
          <w:rFonts w:asciiTheme="minorHAnsi" w:hAnsiTheme="minorHAnsi" w:cs="Arial"/>
        </w:rPr>
      </w:pPr>
      <w:r>
        <w:rPr>
          <w:rFonts w:asciiTheme="minorHAnsi" w:hAnsiTheme="minorHAnsi" w:cs="Arial"/>
        </w:rPr>
        <w:t>Of the other priority electricity market reforms, the dispatch and settlement reforms are key precedents</w:t>
      </w:r>
      <w:r w:rsidR="00D61921">
        <w:rPr>
          <w:rFonts w:asciiTheme="minorHAnsi" w:hAnsiTheme="minorHAnsi" w:cs="Arial"/>
        </w:rPr>
        <w:t xml:space="preserve"> for this review of ESS</w:t>
      </w:r>
      <w:r>
        <w:rPr>
          <w:rFonts w:asciiTheme="minorHAnsi" w:hAnsiTheme="minorHAnsi" w:cs="Arial"/>
        </w:rPr>
        <w:t>, as dispatch for energy will need to</w:t>
      </w:r>
      <w:r w:rsidR="00D1349E">
        <w:rPr>
          <w:rFonts w:asciiTheme="minorHAnsi" w:hAnsiTheme="minorHAnsi" w:cs="Arial"/>
        </w:rPr>
        <w:t xml:space="preserve"> be coordinated with dispatch for</w:t>
      </w:r>
      <w:r>
        <w:rPr>
          <w:rFonts w:asciiTheme="minorHAnsi" w:hAnsiTheme="minorHAnsi" w:cs="Arial"/>
        </w:rPr>
        <w:t xml:space="preserve"> ESS and settlement of ESS payments will also be required.</w:t>
      </w:r>
    </w:p>
    <w:p w14:paraId="611C9488" w14:textId="6EC51AD0" w:rsidR="00CB560D" w:rsidRDefault="00CB560D" w:rsidP="00CB560D">
      <w:pPr>
        <w:rPr>
          <w:rFonts w:asciiTheme="minorHAnsi" w:hAnsiTheme="minorHAnsi" w:cs="Arial"/>
        </w:rPr>
      </w:pPr>
      <w:r w:rsidRPr="00CB560D">
        <w:rPr>
          <w:rFonts w:asciiTheme="minorHAnsi" w:hAnsiTheme="minorHAnsi" w:cs="Arial"/>
        </w:rPr>
        <w:t xml:space="preserve">The </w:t>
      </w:r>
      <w:r w:rsidR="00D1349E">
        <w:rPr>
          <w:rFonts w:asciiTheme="minorHAnsi" w:hAnsiTheme="minorHAnsi" w:cs="Arial"/>
        </w:rPr>
        <w:t xml:space="preserve">announcement of the Government’s </w:t>
      </w:r>
      <w:r w:rsidR="00B1229F">
        <w:rPr>
          <w:rFonts w:asciiTheme="minorHAnsi" w:hAnsiTheme="minorHAnsi" w:cs="Arial"/>
        </w:rPr>
        <w:t>p</w:t>
      </w:r>
      <w:r w:rsidR="00516232">
        <w:rPr>
          <w:rFonts w:asciiTheme="minorHAnsi" w:hAnsiTheme="minorHAnsi" w:cs="Arial"/>
        </w:rPr>
        <w:t>riority electricity market</w:t>
      </w:r>
      <w:r w:rsidRPr="00CB560D">
        <w:rPr>
          <w:rFonts w:asciiTheme="minorHAnsi" w:hAnsiTheme="minorHAnsi" w:cs="Arial"/>
        </w:rPr>
        <w:t xml:space="preserve"> reform</w:t>
      </w:r>
      <w:r w:rsidR="007E5B41">
        <w:rPr>
          <w:rFonts w:asciiTheme="minorHAnsi" w:hAnsiTheme="minorHAnsi" w:cs="Arial"/>
        </w:rPr>
        <w:t xml:space="preserve"> program</w:t>
      </w:r>
      <w:r w:rsidRPr="00CB560D">
        <w:rPr>
          <w:rFonts w:asciiTheme="minorHAnsi" w:hAnsiTheme="minorHAnsi" w:cs="Arial"/>
        </w:rPr>
        <w:t xml:space="preserve"> follow</w:t>
      </w:r>
      <w:r w:rsidR="00384A16">
        <w:rPr>
          <w:rFonts w:asciiTheme="minorHAnsi" w:hAnsiTheme="minorHAnsi" w:cs="Arial"/>
        </w:rPr>
        <w:t>s</w:t>
      </w:r>
      <w:r w:rsidRPr="00CB560D">
        <w:rPr>
          <w:rFonts w:asciiTheme="minorHAnsi" w:hAnsiTheme="minorHAnsi" w:cs="Arial"/>
        </w:rPr>
        <w:t xml:space="preserve"> public consultation by the Department of Treasury and Finance on the development of </w:t>
      </w:r>
      <w:r w:rsidR="00D24175">
        <w:rPr>
          <w:rFonts w:asciiTheme="minorHAnsi" w:hAnsiTheme="minorHAnsi" w:cs="Arial"/>
        </w:rPr>
        <w:t>a</w:t>
      </w:r>
      <w:r w:rsidR="00CE0480">
        <w:rPr>
          <w:rFonts w:asciiTheme="minorHAnsi" w:hAnsiTheme="minorHAnsi" w:cs="Arial"/>
        </w:rPr>
        <w:t xml:space="preserve"> </w:t>
      </w:r>
      <w:r w:rsidRPr="00CB560D">
        <w:rPr>
          <w:rFonts w:asciiTheme="minorHAnsi" w:hAnsiTheme="minorHAnsi" w:cs="Arial"/>
        </w:rPr>
        <w:t>market design for the Northern Territory Electricity Market</w:t>
      </w:r>
      <w:r w:rsidR="00516232">
        <w:rPr>
          <w:rStyle w:val="FootnoteReference"/>
          <w:rFonts w:asciiTheme="minorHAnsi" w:hAnsiTheme="minorHAnsi" w:cs="Arial"/>
        </w:rPr>
        <w:footnoteReference w:id="3"/>
      </w:r>
      <w:r w:rsidRPr="00CB560D">
        <w:rPr>
          <w:rFonts w:asciiTheme="minorHAnsi" w:hAnsiTheme="minorHAnsi" w:cs="Arial"/>
        </w:rPr>
        <w:t>.</w:t>
      </w:r>
    </w:p>
    <w:p w14:paraId="0E2B57AB" w14:textId="517007AA" w:rsidR="00CB560D" w:rsidRPr="00CB560D" w:rsidRDefault="00CB560D" w:rsidP="00BE0579">
      <w:pPr>
        <w:pStyle w:val="Heading3"/>
      </w:pPr>
      <w:r w:rsidRPr="00CB560D">
        <w:t xml:space="preserve">Generator </w:t>
      </w:r>
      <w:r w:rsidR="00BF70FC">
        <w:t>P</w:t>
      </w:r>
      <w:r w:rsidRPr="00CB560D">
        <w:t xml:space="preserve">erformance </w:t>
      </w:r>
      <w:r w:rsidR="00BF70FC">
        <w:t>S</w:t>
      </w:r>
      <w:r w:rsidRPr="00CB560D">
        <w:t>tandards</w:t>
      </w:r>
    </w:p>
    <w:p w14:paraId="2FCEFB43" w14:textId="1374030B" w:rsidR="00CB560D" w:rsidRPr="00CB560D" w:rsidRDefault="00CB560D" w:rsidP="00CB560D">
      <w:pPr>
        <w:rPr>
          <w:rFonts w:asciiTheme="minorHAnsi" w:hAnsiTheme="minorHAnsi" w:cs="Arial"/>
        </w:rPr>
      </w:pPr>
      <w:r w:rsidRPr="00CB560D">
        <w:rPr>
          <w:rFonts w:asciiTheme="minorHAnsi" w:hAnsiTheme="minorHAnsi" w:cs="Arial"/>
        </w:rPr>
        <w:t xml:space="preserve">New Generator Performance Standards (GPS) </w:t>
      </w:r>
      <w:r w:rsidR="00D24175">
        <w:rPr>
          <w:rFonts w:asciiTheme="minorHAnsi" w:hAnsiTheme="minorHAnsi" w:cs="Arial"/>
        </w:rPr>
        <w:t>approved by the Utilities Commission in March 2020</w:t>
      </w:r>
      <w:r w:rsidRPr="00CB560D">
        <w:rPr>
          <w:rFonts w:asciiTheme="minorHAnsi" w:hAnsiTheme="minorHAnsi" w:cs="Arial"/>
        </w:rPr>
        <w:t xml:space="preserve"> require that all new</w:t>
      </w:r>
      <w:r w:rsidR="00B967F2">
        <w:rPr>
          <w:rFonts w:asciiTheme="minorHAnsi" w:hAnsiTheme="minorHAnsi" w:cs="Arial"/>
        </w:rPr>
        <w:t xml:space="preserve"> licenced</w:t>
      </w:r>
      <w:r w:rsidRPr="00CB560D">
        <w:rPr>
          <w:rFonts w:asciiTheme="minorHAnsi" w:hAnsiTheme="minorHAnsi" w:cs="Arial"/>
        </w:rPr>
        <w:t xml:space="preserve"> generators are predictable and controllable. As a result, new large</w:t>
      </w:r>
      <w:r w:rsidRPr="00CB560D">
        <w:rPr>
          <w:rFonts w:asciiTheme="minorHAnsi" w:hAnsiTheme="minorHAnsi" w:cs="Arial"/>
        </w:rPr>
        <w:noBreakHyphen/>
        <w:t>scale solar PV systems should not substantially add to the requirement for additional system services, and if required, can be otherwise controlled to avoid compromise to system security.</w:t>
      </w:r>
    </w:p>
    <w:p w14:paraId="3289FF66" w14:textId="77777777" w:rsidR="00CB560D" w:rsidRPr="00CB560D" w:rsidRDefault="00CB560D" w:rsidP="00CB560D">
      <w:pPr>
        <w:rPr>
          <w:rFonts w:asciiTheme="minorHAnsi" w:hAnsiTheme="minorHAnsi" w:cs="Arial"/>
        </w:rPr>
      </w:pPr>
      <w:r w:rsidRPr="00CB560D">
        <w:rPr>
          <w:rFonts w:asciiTheme="minorHAnsi" w:hAnsiTheme="minorHAnsi" w:cs="Arial"/>
        </w:rPr>
        <w:t>However, the GPS imposes mandatory ESS (frequency management) capability on generators, subject to energy source availability. This effectively means that large-scale solar PV may be called on to provide contingency lower frequency control services, but would not have their output constrained to provide contingency raise frequency control services. Given new large-scale solar PV will have capability to provide some kinds of ESS, there is added impetus to ensure</w:t>
      </w:r>
      <w:r w:rsidR="00D24175">
        <w:rPr>
          <w:rFonts w:asciiTheme="minorHAnsi" w:hAnsiTheme="minorHAnsi" w:cs="Arial"/>
        </w:rPr>
        <w:t xml:space="preserve"> they</w:t>
      </w:r>
      <w:r w:rsidRPr="00CB560D">
        <w:rPr>
          <w:rFonts w:asciiTheme="minorHAnsi" w:hAnsiTheme="minorHAnsi" w:cs="Arial"/>
        </w:rPr>
        <w:t xml:space="preserve"> can be compensated for this.</w:t>
      </w:r>
    </w:p>
    <w:p w14:paraId="7317BF86" w14:textId="77777777" w:rsidR="00CB560D" w:rsidRPr="00CB560D" w:rsidRDefault="00CB560D" w:rsidP="00BE0579">
      <w:pPr>
        <w:pStyle w:val="Heading3"/>
        <w:keepNext/>
      </w:pPr>
      <w:r w:rsidRPr="00CB560D">
        <w:lastRenderedPageBreak/>
        <w:t>Large-scale battery for the Darwin-Katherine system</w:t>
      </w:r>
    </w:p>
    <w:p w14:paraId="711B5EDA" w14:textId="77777777" w:rsidR="00CB560D" w:rsidRPr="00CB560D" w:rsidRDefault="00CB560D" w:rsidP="00CB560D">
      <w:pPr>
        <w:rPr>
          <w:rFonts w:asciiTheme="minorHAnsi" w:hAnsiTheme="minorHAnsi" w:cs="Arial"/>
        </w:rPr>
      </w:pPr>
      <w:r w:rsidRPr="00CB560D">
        <w:rPr>
          <w:rFonts w:asciiTheme="minorHAnsi" w:hAnsiTheme="minorHAnsi" w:cs="Arial"/>
        </w:rPr>
        <w:t>The Northern Territory Government has also recently approved the procurement of a large</w:t>
      </w:r>
      <w:r w:rsidRPr="00CB560D">
        <w:rPr>
          <w:rFonts w:asciiTheme="minorHAnsi" w:hAnsiTheme="minorHAnsi" w:cs="Arial"/>
        </w:rPr>
        <w:noBreakHyphen/>
        <w:t>scale Battery Energy Storage System (BESS) for the Darwin-Katherine system to more efficiently provide ESS. The BESS is intended to deliver:</w:t>
      </w:r>
    </w:p>
    <w:p w14:paraId="4212D60B" w14:textId="77777777" w:rsidR="00CB560D" w:rsidRPr="00CB560D" w:rsidRDefault="00CB560D" w:rsidP="00CB560D">
      <w:pPr>
        <w:pStyle w:val="ListParagraph"/>
        <w:numPr>
          <w:ilvl w:val="0"/>
          <w:numId w:val="12"/>
        </w:numPr>
        <w:spacing w:before="200"/>
        <w:ind w:left="426"/>
        <w:rPr>
          <w:rFonts w:cs="Arial"/>
        </w:rPr>
      </w:pPr>
      <w:r w:rsidRPr="00CB560D">
        <w:rPr>
          <w:rFonts w:cs="Arial"/>
        </w:rPr>
        <w:t>increased stability and reliability of power supply from reduced reliance on gas-fired generation</w:t>
      </w:r>
    </w:p>
    <w:p w14:paraId="67AA3FC8" w14:textId="77777777" w:rsidR="00CB560D" w:rsidRPr="00CB560D" w:rsidRDefault="00CB560D" w:rsidP="00CB560D">
      <w:pPr>
        <w:pStyle w:val="ListParagraph"/>
        <w:numPr>
          <w:ilvl w:val="0"/>
          <w:numId w:val="12"/>
        </w:numPr>
        <w:spacing w:before="200"/>
        <w:ind w:left="426"/>
        <w:rPr>
          <w:rFonts w:cs="Arial"/>
        </w:rPr>
      </w:pPr>
      <w:r w:rsidRPr="00CB560D">
        <w:rPr>
          <w:rFonts w:cs="Arial"/>
        </w:rPr>
        <w:t>reduction in carbon emissions</w:t>
      </w:r>
    </w:p>
    <w:p w14:paraId="095DC90E" w14:textId="77777777" w:rsidR="00CB560D" w:rsidRPr="00CB560D" w:rsidRDefault="00CB560D" w:rsidP="00CB560D">
      <w:pPr>
        <w:pStyle w:val="ListParagraph"/>
        <w:numPr>
          <w:ilvl w:val="0"/>
          <w:numId w:val="12"/>
        </w:numPr>
        <w:spacing w:before="200"/>
        <w:ind w:left="426"/>
        <w:rPr>
          <w:rFonts w:cs="Arial"/>
        </w:rPr>
      </w:pPr>
      <w:proofErr w:type="gramStart"/>
      <w:r w:rsidRPr="00CB560D">
        <w:rPr>
          <w:rFonts w:cs="Arial"/>
        </w:rPr>
        <w:t>reduction</w:t>
      </w:r>
      <w:proofErr w:type="gramEnd"/>
      <w:r w:rsidRPr="00CB560D">
        <w:rPr>
          <w:rFonts w:cs="Arial"/>
        </w:rPr>
        <w:t xml:space="preserve"> in costs for Territory Generation.</w:t>
      </w:r>
    </w:p>
    <w:p w14:paraId="6DF6D90D" w14:textId="77777777" w:rsidR="00CB560D" w:rsidRPr="00CB560D" w:rsidRDefault="00CB560D" w:rsidP="00CB560D">
      <w:pPr>
        <w:rPr>
          <w:rFonts w:asciiTheme="minorHAnsi" w:hAnsiTheme="minorHAnsi" w:cs="Arial"/>
        </w:rPr>
      </w:pPr>
      <w:r w:rsidRPr="00CB560D">
        <w:rPr>
          <w:rFonts w:asciiTheme="minorHAnsi" w:hAnsiTheme="minorHAnsi" w:cs="Arial"/>
        </w:rPr>
        <w:t>Procurement will take place in 2020 with the BESS expected to become operational in 2022. Notwithstanding the broader scope of this review, the introduction of the BESS will require reform to the existing ESS arrangements.</w:t>
      </w:r>
    </w:p>
    <w:p w14:paraId="31F1C60E" w14:textId="77777777" w:rsidR="00CB560D" w:rsidRPr="00CB560D" w:rsidRDefault="00CB560D" w:rsidP="00CB560D">
      <w:pPr>
        <w:pStyle w:val="Heading2"/>
        <w:keepNext/>
        <w:rPr>
          <w:lang w:eastAsia="en-AU"/>
        </w:rPr>
      </w:pPr>
      <w:bookmarkStart w:id="4" w:name="_Toc42779151"/>
      <w:r w:rsidRPr="00CB560D">
        <w:rPr>
          <w:lang w:eastAsia="en-AU"/>
        </w:rPr>
        <w:t>Review framework</w:t>
      </w:r>
      <w:bookmarkEnd w:id="4"/>
    </w:p>
    <w:p w14:paraId="2347C428" w14:textId="10F2849C" w:rsidR="00CB560D" w:rsidRPr="00CB560D" w:rsidRDefault="00CB560D" w:rsidP="00CB560D">
      <w:pPr>
        <w:rPr>
          <w:rFonts w:asciiTheme="minorHAnsi" w:hAnsiTheme="minorHAnsi" w:cs="Arial"/>
        </w:rPr>
      </w:pPr>
      <w:r w:rsidRPr="00CB560D">
        <w:rPr>
          <w:rFonts w:asciiTheme="minorHAnsi" w:hAnsiTheme="minorHAnsi" w:cs="Arial"/>
        </w:rPr>
        <w:t xml:space="preserve">The </w:t>
      </w:r>
      <w:r w:rsidR="00D24175">
        <w:rPr>
          <w:rFonts w:asciiTheme="minorHAnsi" w:hAnsiTheme="minorHAnsi" w:cs="Arial"/>
        </w:rPr>
        <w:t xml:space="preserve">Northern </w:t>
      </w:r>
      <w:r w:rsidRPr="00CB560D">
        <w:rPr>
          <w:rFonts w:asciiTheme="minorHAnsi" w:hAnsiTheme="minorHAnsi" w:cs="Arial"/>
        </w:rPr>
        <w:t>Territory has adopted the National Electricity Law (NEL) for the regulated electricity systems of Darwin-Katherine, Alice Springs and Tennant Creek, and its focus on promoting the long</w:t>
      </w:r>
      <w:r w:rsidRPr="00CB560D">
        <w:rPr>
          <w:rFonts w:asciiTheme="minorHAnsi" w:hAnsiTheme="minorHAnsi" w:cs="Arial"/>
        </w:rPr>
        <w:noBreakHyphen/>
        <w:t xml:space="preserve">term interests of consumers of electricity. As such, the </w:t>
      </w:r>
      <w:r w:rsidR="00DD050A">
        <w:rPr>
          <w:rFonts w:asciiTheme="minorHAnsi" w:hAnsiTheme="minorHAnsi" w:cs="Arial"/>
        </w:rPr>
        <w:t>Design Development Team</w:t>
      </w:r>
      <w:r w:rsidRPr="00CB560D">
        <w:rPr>
          <w:rFonts w:asciiTheme="minorHAnsi" w:hAnsiTheme="minorHAnsi" w:cs="Arial"/>
        </w:rPr>
        <w:t xml:space="preserve"> proposes that its overarching assessment framework for this review be aligned to the National Electricity Objective (NEO) as defined under the NEL, which is:</w:t>
      </w:r>
    </w:p>
    <w:p w14:paraId="133CE76F" w14:textId="77777777" w:rsidR="00CB560D" w:rsidRPr="002F64A1" w:rsidRDefault="00CB560D" w:rsidP="00CE0480">
      <w:pPr>
        <w:spacing w:after="60"/>
        <w:ind w:left="567" w:right="567"/>
        <w:rPr>
          <w:rFonts w:asciiTheme="minorHAnsi" w:hAnsiTheme="minorHAnsi" w:cs="Arial"/>
          <w:i/>
        </w:rPr>
      </w:pPr>
      <w:r w:rsidRPr="002F64A1">
        <w:rPr>
          <w:rFonts w:asciiTheme="minorHAnsi" w:hAnsiTheme="minorHAnsi" w:cs="Arial"/>
          <w:i/>
        </w:rPr>
        <w:t xml:space="preserve">“… </w:t>
      </w:r>
      <w:proofErr w:type="gramStart"/>
      <w:r w:rsidRPr="002F64A1">
        <w:rPr>
          <w:rFonts w:asciiTheme="minorHAnsi" w:hAnsiTheme="minorHAnsi" w:cs="Arial"/>
          <w:i/>
        </w:rPr>
        <w:t>to</w:t>
      </w:r>
      <w:proofErr w:type="gramEnd"/>
      <w:r w:rsidRPr="002F64A1">
        <w:rPr>
          <w:rFonts w:asciiTheme="minorHAnsi" w:hAnsiTheme="minorHAnsi" w:cs="Arial"/>
          <w:i/>
        </w:rPr>
        <w:t xml:space="preserve"> promote efficient investment in, and efficient operation and use of, electricity services for the long term interests of consumers of electricity with respect to — </w:t>
      </w:r>
    </w:p>
    <w:p w14:paraId="3B2C7A5E" w14:textId="04747E58" w:rsidR="00CB560D" w:rsidRPr="002F64A1" w:rsidRDefault="00CB560D" w:rsidP="00222483">
      <w:pPr>
        <w:ind w:left="567" w:right="567"/>
        <w:rPr>
          <w:rFonts w:asciiTheme="minorHAnsi" w:hAnsiTheme="minorHAnsi" w:cs="Arial"/>
        </w:rPr>
      </w:pPr>
      <w:r w:rsidRPr="002F64A1">
        <w:rPr>
          <w:rFonts w:asciiTheme="minorHAnsi" w:hAnsiTheme="minorHAnsi" w:cs="Arial"/>
          <w:i/>
        </w:rPr>
        <w:t>(</w:t>
      </w:r>
      <w:proofErr w:type="gramStart"/>
      <w:r w:rsidRPr="002F64A1">
        <w:rPr>
          <w:rFonts w:asciiTheme="minorHAnsi" w:hAnsiTheme="minorHAnsi" w:cs="Arial"/>
          <w:i/>
        </w:rPr>
        <w:t>a</w:t>
      </w:r>
      <w:proofErr w:type="gramEnd"/>
      <w:r w:rsidRPr="002F64A1">
        <w:rPr>
          <w:rFonts w:asciiTheme="minorHAnsi" w:hAnsiTheme="minorHAnsi" w:cs="Arial"/>
          <w:i/>
        </w:rPr>
        <w:t>) price, quality, safety, reliability and security of supply of electricity</w:t>
      </w:r>
      <w:r w:rsidR="00B967F2">
        <w:rPr>
          <w:rFonts w:asciiTheme="minorHAnsi" w:hAnsiTheme="minorHAnsi" w:cs="Arial"/>
          <w:i/>
        </w:rPr>
        <w:t xml:space="preserve"> …</w:t>
      </w:r>
      <w:r w:rsidRPr="002F64A1">
        <w:rPr>
          <w:rFonts w:asciiTheme="minorHAnsi" w:hAnsiTheme="minorHAnsi" w:cs="Arial"/>
        </w:rPr>
        <w:t>”</w:t>
      </w:r>
      <w:r w:rsidRPr="002F64A1">
        <w:rPr>
          <w:rFonts w:asciiTheme="minorHAnsi" w:hAnsiTheme="minorHAnsi"/>
          <w:vertAlign w:val="superscript"/>
        </w:rPr>
        <w:footnoteReference w:id="4"/>
      </w:r>
    </w:p>
    <w:p w14:paraId="345F3D7E" w14:textId="77777777" w:rsidR="00CB560D" w:rsidRPr="002F64A1" w:rsidRDefault="00CB560D" w:rsidP="00CB560D">
      <w:pPr>
        <w:rPr>
          <w:rFonts w:asciiTheme="minorHAnsi" w:hAnsiTheme="minorHAnsi" w:cs="Arial"/>
        </w:rPr>
      </w:pPr>
      <w:r w:rsidRPr="002F64A1">
        <w:rPr>
          <w:rFonts w:asciiTheme="minorHAnsi" w:hAnsiTheme="minorHAnsi" w:cs="Arial"/>
        </w:rPr>
        <w:t>Consistent with the NEO, the following principles are proposed to be used to frame the review of the provision of ESS in the Territory’s regulated electricity systems.</w:t>
      </w:r>
    </w:p>
    <w:p w14:paraId="44C6E057" w14:textId="77777777" w:rsidR="00CB560D" w:rsidRPr="002F64A1" w:rsidRDefault="00CB560D" w:rsidP="002F64A1">
      <w:pPr>
        <w:pStyle w:val="ListParagraph"/>
        <w:numPr>
          <w:ilvl w:val="0"/>
          <w:numId w:val="12"/>
        </w:numPr>
        <w:spacing w:before="200"/>
        <w:ind w:left="426"/>
        <w:rPr>
          <w:rFonts w:cs="Arial"/>
        </w:rPr>
      </w:pPr>
      <w:r w:rsidRPr="002F64A1">
        <w:rPr>
          <w:rFonts w:cs="Arial"/>
        </w:rPr>
        <w:t>Required security standards must be met.</w:t>
      </w:r>
    </w:p>
    <w:p w14:paraId="1C995415" w14:textId="77777777" w:rsidR="00CB560D" w:rsidRPr="002F64A1" w:rsidRDefault="00CB560D" w:rsidP="002F64A1">
      <w:pPr>
        <w:pStyle w:val="ListParagraph"/>
        <w:numPr>
          <w:ilvl w:val="0"/>
          <w:numId w:val="12"/>
        </w:numPr>
        <w:spacing w:before="200"/>
        <w:ind w:left="426"/>
        <w:rPr>
          <w:rFonts w:cs="Arial"/>
        </w:rPr>
      </w:pPr>
      <w:r w:rsidRPr="002F64A1">
        <w:rPr>
          <w:rFonts w:cs="Arial"/>
        </w:rPr>
        <w:t>Services should be acquired at least cost.</w:t>
      </w:r>
    </w:p>
    <w:p w14:paraId="413B6160" w14:textId="77777777" w:rsidR="00CB560D" w:rsidRPr="002F64A1" w:rsidRDefault="00CB560D" w:rsidP="002F64A1">
      <w:pPr>
        <w:pStyle w:val="ListParagraph"/>
        <w:numPr>
          <w:ilvl w:val="0"/>
          <w:numId w:val="12"/>
        </w:numPr>
        <w:spacing w:before="200"/>
        <w:ind w:left="426"/>
        <w:rPr>
          <w:rFonts w:cs="Arial"/>
        </w:rPr>
      </w:pPr>
      <w:r w:rsidRPr="002F64A1">
        <w:rPr>
          <w:rFonts w:cs="Arial"/>
        </w:rPr>
        <w:t>ESS acquisition is to be technology neutral.</w:t>
      </w:r>
    </w:p>
    <w:p w14:paraId="1E137F1C" w14:textId="77777777" w:rsidR="00CB560D" w:rsidRPr="002F64A1" w:rsidRDefault="00CB560D" w:rsidP="002F64A1">
      <w:pPr>
        <w:pStyle w:val="ListParagraph"/>
        <w:numPr>
          <w:ilvl w:val="0"/>
          <w:numId w:val="12"/>
        </w:numPr>
        <w:spacing w:before="200"/>
        <w:ind w:left="426"/>
        <w:rPr>
          <w:rFonts w:cs="Arial"/>
        </w:rPr>
      </w:pPr>
      <w:r w:rsidRPr="002F64A1">
        <w:rPr>
          <w:rFonts w:cs="Arial"/>
        </w:rPr>
        <w:t>To the extent possible, the proposed arrangements should deliver certainty to industry participants, so as to provide the confidence to invest.</w:t>
      </w:r>
    </w:p>
    <w:p w14:paraId="6D0029D7" w14:textId="77777777" w:rsidR="00CB560D" w:rsidRPr="002F64A1" w:rsidRDefault="00CB560D" w:rsidP="002F64A1">
      <w:pPr>
        <w:pStyle w:val="ListParagraph"/>
        <w:numPr>
          <w:ilvl w:val="0"/>
          <w:numId w:val="12"/>
        </w:numPr>
        <w:spacing w:before="200"/>
        <w:ind w:left="426"/>
        <w:rPr>
          <w:rFonts w:cs="Arial"/>
        </w:rPr>
      </w:pPr>
      <w:r w:rsidRPr="002F64A1">
        <w:rPr>
          <w:rFonts w:cs="Arial"/>
        </w:rPr>
        <w:t>Arrangements must support the achievement of the Government’s 50 per cent renewables by 2030 target and reductions to greenhouse gas emissions.</w:t>
      </w:r>
    </w:p>
    <w:p w14:paraId="3A5200B0" w14:textId="77777777" w:rsidR="00CB560D" w:rsidRPr="002F64A1" w:rsidRDefault="00CB560D" w:rsidP="002F64A1">
      <w:pPr>
        <w:pStyle w:val="ListParagraph"/>
        <w:numPr>
          <w:ilvl w:val="0"/>
          <w:numId w:val="12"/>
        </w:numPr>
        <w:spacing w:before="200"/>
        <w:ind w:left="426"/>
        <w:rPr>
          <w:rFonts w:cs="Arial"/>
        </w:rPr>
      </w:pPr>
      <w:r w:rsidRPr="002F64A1">
        <w:rPr>
          <w:rFonts w:cs="Arial"/>
        </w:rPr>
        <w:t>Reforms must improve the overall efficiency of electricity supply, putting downward pressure on the combined cost of ESS, wholesale electricity and network services.</w:t>
      </w:r>
    </w:p>
    <w:p w14:paraId="76F122D8" w14:textId="77777777" w:rsidR="00CB560D" w:rsidRPr="00CB560D" w:rsidRDefault="00CB560D" w:rsidP="00CB560D">
      <w:pPr>
        <w:pStyle w:val="Heading2"/>
        <w:keepNext/>
        <w:rPr>
          <w:lang w:eastAsia="en-AU"/>
        </w:rPr>
      </w:pPr>
      <w:bookmarkStart w:id="5" w:name="_Toc42779152"/>
      <w:r w:rsidRPr="00CB560D">
        <w:rPr>
          <w:lang w:eastAsia="en-AU"/>
        </w:rPr>
        <w:t>Stakeholder consultation and review timeframes</w:t>
      </w:r>
      <w:bookmarkEnd w:id="5"/>
    </w:p>
    <w:p w14:paraId="1BD2C08B" w14:textId="74A58924" w:rsidR="001535CC" w:rsidRDefault="001535CC" w:rsidP="00CB560D">
      <w:pPr>
        <w:rPr>
          <w:rFonts w:asciiTheme="minorHAnsi" w:hAnsiTheme="minorHAnsi" w:cs="Arial"/>
        </w:rPr>
      </w:pPr>
      <w:r>
        <w:rPr>
          <w:rFonts w:asciiTheme="minorHAnsi" w:hAnsiTheme="minorHAnsi" w:cs="Arial"/>
        </w:rPr>
        <w:t xml:space="preserve">The Design Development Team intends to consult broadly with stakeholders, including through one-on-one meetings and stakeholder workshops at appropriate times during the review. </w:t>
      </w:r>
    </w:p>
    <w:p w14:paraId="7F314293" w14:textId="0D8B2FD4" w:rsidR="00CB560D" w:rsidRDefault="001535CC" w:rsidP="00CB560D">
      <w:pPr>
        <w:rPr>
          <w:rFonts w:asciiTheme="minorHAnsi" w:hAnsiTheme="minorHAnsi" w:cs="Arial"/>
        </w:rPr>
      </w:pPr>
      <w:r>
        <w:rPr>
          <w:rFonts w:asciiTheme="minorHAnsi" w:hAnsiTheme="minorHAnsi" w:cs="Arial"/>
        </w:rPr>
        <w:t>The review actions and expected timing are outline</w:t>
      </w:r>
      <w:r w:rsidR="00D24175">
        <w:rPr>
          <w:rFonts w:asciiTheme="minorHAnsi" w:hAnsiTheme="minorHAnsi" w:cs="Arial"/>
        </w:rPr>
        <w:t>d</w:t>
      </w:r>
      <w:r>
        <w:rPr>
          <w:rFonts w:asciiTheme="minorHAnsi" w:hAnsiTheme="minorHAnsi" w:cs="Arial"/>
        </w:rPr>
        <w:t xml:space="preserve"> in Table 1.</w:t>
      </w:r>
    </w:p>
    <w:p w14:paraId="1FD3F671" w14:textId="006403C0" w:rsidR="002F64A1" w:rsidRDefault="002F64A1" w:rsidP="0021322F">
      <w:pPr>
        <w:keepNext/>
        <w:spacing w:after="60"/>
        <w:rPr>
          <w:rFonts w:cs="Arial"/>
          <w:b/>
        </w:rPr>
      </w:pPr>
      <w:r w:rsidRPr="00D54F69">
        <w:rPr>
          <w:rFonts w:cs="Arial"/>
          <w:b/>
        </w:rPr>
        <w:lastRenderedPageBreak/>
        <w:t>Table 1 –</w:t>
      </w:r>
      <w:r w:rsidR="00E049DE">
        <w:rPr>
          <w:rFonts w:cs="Arial"/>
          <w:b/>
        </w:rPr>
        <w:t xml:space="preserve"> </w:t>
      </w:r>
      <w:r w:rsidR="0088623A">
        <w:rPr>
          <w:rFonts w:cs="Arial"/>
          <w:b/>
        </w:rPr>
        <w:t>Actions and</w:t>
      </w:r>
      <w:r>
        <w:rPr>
          <w:rFonts w:cs="Arial"/>
          <w:b/>
        </w:rPr>
        <w:t xml:space="preserve"> expected timing</w:t>
      </w:r>
    </w:p>
    <w:tbl>
      <w:tblPr>
        <w:tblStyle w:val="NTGtable1"/>
        <w:tblW w:w="5000" w:type="pct"/>
        <w:tblLook w:val="04A0" w:firstRow="1" w:lastRow="0" w:firstColumn="1" w:lastColumn="0" w:noHBand="0" w:noVBand="1"/>
      </w:tblPr>
      <w:tblGrid>
        <w:gridCol w:w="6315"/>
        <w:gridCol w:w="3993"/>
      </w:tblGrid>
      <w:tr w:rsidR="0088623A" w14:paraId="1E758133" w14:textId="77777777" w:rsidTr="008218E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63" w:type="pct"/>
          </w:tcPr>
          <w:p w14:paraId="21A21C67" w14:textId="77777777" w:rsidR="0088623A" w:rsidRPr="00F73889" w:rsidRDefault="0088623A" w:rsidP="00412503">
            <w:pPr>
              <w:keepNext/>
              <w:rPr>
                <w:rFonts w:cs="Arial"/>
              </w:rPr>
            </w:pPr>
            <w:r>
              <w:rPr>
                <w:rFonts w:cs="Arial"/>
              </w:rPr>
              <w:t>Action</w:t>
            </w:r>
          </w:p>
        </w:tc>
        <w:tc>
          <w:tcPr>
            <w:tcW w:w="1937" w:type="pct"/>
          </w:tcPr>
          <w:p w14:paraId="63285C9B" w14:textId="77777777" w:rsidR="0088623A" w:rsidRPr="00F73889" w:rsidRDefault="0088623A" w:rsidP="00412503">
            <w:pPr>
              <w:keepNext/>
              <w:cnfStyle w:val="100000000000" w:firstRow="1" w:lastRow="0" w:firstColumn="0" w:lastColumn="0" w:oddVBand="0" w:evenVBand="0" w:oddHBand="0" w:evenHBand="0" w:firstRowFirstColumn="0" w:firstRowLastColumn="0" w:lastRowFirstColumn="0" w:lastRowLastColumn="0"/>
              <w:rPr>
                <w:rFonts w:cs="Arial"/>
              </w:rPr>
            </w:pPr>
            <w:r>
              <w:rPr>
                <w:rFonts w:cs="Arial"/>
              </w:rPr>
              <w:t>Expected timing</w:t>
            </w:r>
          </w:p>
        </w:tc>
      </w:tr>
      <w:tr w:rsidR="0088623A" w14:paraId="5014CF2E" w14:textId="77777777" w:rsidTr="008218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3" w:type="pct"/>
            <w:vAlign w:val="top"/>
          </w:tcPr>
          <w:p w14:paraId="1CEA41AB" w14:textId="77777777" w:rsidR="0088623A" w:rsidRPr="00D54F69" w:rsidRDefault="0088623A" w:rsidP="00412503">
            <w:pPr>
              <w:keepNext/>
              <w:spacing w:before="60" w:after="60"/>
              <w:rPr>
                <w:rFonts w:cs="Arial"/>
              </w:rPr>
            </w:pPr>
            <w:r>
              <w:rPr>
                <w:rFonts w:cs="Arial"/>
              </w:rPr>
              <w:t>Publish issues paper inviting initial written submissions</w:t>
            </w:r>
          </w:p>
        </w:tc>
        <w:tc>
          <w:tcPr>
            <w:tcW w:w="1937" w:type="pct"/>
            <w:vAlign w:val="top"/>
          </w:tcPr>
          <w:p w14:paraId="61E6032D" w14:textId="77777777" w:rsidR="0088623A" w:rsidRPr="00D54F69" w:rsidRDefault="0088623A" w:rsidP="00412503">
            <w:pPr>
              <w:keepNext/>
              <w:spacing w:before="60" w:after="60"/>
              <w:cnfStyle w:val="000000100000" w:firstRow="0" w:lastRow="0" w:firstColumn="0" w:lastColumn="0" w:oddVBand="0" w:evenVBand="0" w:oddHBand="1" w:evenHBand="0" w:firstRowFirstColumn="0" w:firstRowLastColumn="0" w:lastRowFirstColumn="0" w:lastRowLastColumn="0"/>
              <w:rPr>
                <w:rFonts w:cs="Arial"/>
              </w:rPr>
            </w:pPr>
            <w:r>
              <w:rPr>
                <w:rFonts w:cs="Arial"/>
              </w:rPr>
              <w:t>June 2020</w:t>
            </w:r>
          </w:p>
        </w:tc>
      </w:tr>
      <w:tr w:rsidR="002B37B5" w14:paraId="344BEE1F" w14:textId="77777777" w:rsidTr="008218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3" w:type="pct"/>
            <w:vAlign w:val="top"/>
          </w:tcPr>
          <w:p w14:paraId="495CFEE3" w14:textId="77777777" w:rsidR="002B37B5" w:rsidRPr="00D6180F" w:rsidRDefault="002B37B5" w:rsidP="00412503">
            <w:pPr>
              <w:keepNext/>
              <w:spacing w:before="60" w:after="60"/>
              <w:rPr>
                <w:rFonts w:cs="Arial"/>
                <w:highlight w:val="yellow"/>
              </w:rPr>
            </w:pPr>
            <w:r w:rsidRPr="00326E35">
              <w:rPr>
                <w:rFonts w:cs="Arial"/>
              </w:rPr>
              <w:t>Submissions on issues paper due</w:t>
            </w:r>
          </w:p>
        </w:tc>
        <w:tc>
          <w:tcPr>
            <w:tcW w:w="1937" w:type="pct"/>
            <w:vAlign w:val="top"/>
          </w:tcPr>
          <w:p w14:paraId="0FAB28E1" w14:textId="4BD841A3" w:rsidR="002B37B5" w:rsidRPr="00BF6C88" w:rsidRDefault="00136A02" w:rsidP="00412503">
            <w:pPr>
              <w:keepNext/>
              <w:spacing w:before="60" w:after="60"/>
              <w:cnfStyle w:val="000000010000" w:firstRow="0" w:lastRow="0" w:firstColumn="0" w:lastColumn="0" w:oddVBand="0" w:evenVBand="0" w:oddHBand="0" w:evenHBand="1" w:firstRowFirstColumn="0" w:firstRowLastColumn="0" w:lastRowFirstColumn="0" w:lastRowLastColumn="0"/>
              <w:rPr>
                <w:rFonts w:cs="Arial"/>
              </w:rPr>
            </w:pPr>
            <w:r w:rsidRPr="00BF6C88">
              <w:rPr>
                <w:rFonts w:cs="Arial"/>
              </w:rPr>
              <w:t>13</w:t>
            </w:r>
            <w:r w:rsidR="002B37B5" w:rsidRPr="00BF6C88">
              <w:rPr>
                <w:rFonts w:cs="Arial"/>
              </w:rPr>
              <w:t xml:space="preserve"> July 2020</w:t>
            </w:r>
          </w:p>
        </w:tc>
      </w:tr>
      <w:tr w:rsidR="0088623A" w14:paraId="5BBBA5E3" w14:textId="77777777" w:rsidTr="008218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3" w:type="pct"/>
            <w:vAlign w:val="top"/>
          </w:tcPr>
          <w:p w14:paraId="5FFADF72" w14:textId="77777777" w:rsidR="0088623A" w:rsidRPr="00D54F69" w:rsidRDefault="0088623A" w:rsidP="00412503">
            <w:pPr>
              <w:keepNext/>
              <w:spacing w:before="60" w:after="60"/>
              <w:rPr>
                <w:rFonts w:cs="Arial"/>
              </w:rPr>
            </w:pPr>
            <w:r>
              <w:rPr>
                <w:rFonts w:cs="Arial"/>
              </w:rPr>
              <w:t>Publish draft review report setting out draft policy position and recommendations and inviting further written submissions</w:t>
            </w:r>
          </w:p>
        </w:tc>
        <w:tc>
          <w:tcPr>
            <w:tcW w:w="1937" w:type="pct"/>
            <w:vAlign w:val="top"/>
          </w:tcPr>
          <w:p w14:paraId="365AFD7E" w14:textId="77777777" w:rsidR="0088623A" w:rsidRPr="00BF6C88" w:rsidRDefault="0088623A" w:rsidP="00412503">
            <w:pPr>
              <w:keepNext/>
              <w:spacing w:before="60" w:after="60"/>
              <w:cnfStyle w:val="000000100000" w:firstRow="0" w:lastRow="0" w:firstColumn="0" w:lastColumn="0" w:oddVBand="0" w:evenVBand="0" w:oddHBand="1" w:evenHBand="0" w:firstRowFirstColumn="0" w:firstRowLastColumn="0" w:lastRowFirstColumn="0" w:lastRowLastColumn="0"/>
              <w:rPr>
                <w:rFonts w:cs="Arial"/>
              </w:rPr>
            </w:pPr>
            <w:r w:rsidRPr="00BF6C88">
              <w:rPr>
                <w:rFonts w:cs="Arial"/>
              </w:rPr>
              <w:t>September 2020</w:t>
            </w:r>
          </w:p>
        </w:tc>
      </w:tr>
      <w:tr w:rsidR="0088623A" w14:paraId="7AEA6E1C" w14:textId="77777777" w:rsidTr="008218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3" w:type="pct"/>
            <w:vAlign w:val="top"/>
          </w:tcPr>
          <w:p w14:paraId="48D7CA82" w14:textId="77777777" w:rsidR="0088623A" w:rsidRPr="00D54F69" w:rsidRDefault="0088623A" w:rsidP="00412503">
            <w:pPr>
              <w:keepNext/>
              <w:spacing w:before="60" w:after="60"/>
              <w:rPr>
                <w:rFonts w:cs="Arial"/>
              </w:rPr>
            </w:pPr>
            <w:r>
              <w:rPr>
                <w:rFonts w:cs="Arial"/>
              </w:rPr>
              <w:t>Publish final review report setting out detailed policy position and recommendations</w:t>
            </w:r>
          </w:p>
        </w:tc>
        <w:tc>
          <w:tcPr>
            <w:tcW w:w="1937" w:type="pct"/>
            <w:vAlign w:val="top"/>
          </w:tcPr>
          <w:p w14:paraId="1980BD4A" w14:textId="77777777" w:rsidR="0088623A" w:rsidRPr="00BF6C88" w:rsidRDefault="0088623A" w:rsidP="00412503">
            <w:pPr>
              <w:keepNext/>
              <w:spacing w:before="60" w:after="60"/>
              <w:cnfStyle w:val="000000010000" w:firstRow="0" w:lastRow="0" w:firstColumn="0" w:lastColumn="0" w:oddVBand="0" w:evenVBand="0" w:oddHBand="0" w:evenHBand="1" w:firstRowFirstColumn="0" w:firstRowLastColumn="0" w:lastRowFirstColumn="0" w:lastRowLastColumn="0"/>
              <w:rPr>
                <w:rFonts w:cs="Arial"/>
              </w:rPr>
            </w:pPr>
            <w:r w:rsidRPr="00BF6C88">
              <w:rPr>
                <w:rFonts w:cs="Arial"/>
              </w:rPr>
              <w:t>December 2020</w:t>
            </w:r>
          </w:p>
        </w:tc>
      </w:tr>
      <w:tr w:rsidR="0088623A" w14:paraId="64D76E34" w14:textId="77777777" w:rsidTr="008218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3" w:type="pct"/>
            <w:vAlign w:val="top"/>
          </w:tcPr>
          <w:p w14:paraId="0E8F2B26" w14:textId="77777777" w:rsidR="0088623A" w:rsidRPr="00D54F69" w:rsidRDefault="0088623A" w:rsidP="00412503">
            <w:pPr>
              <w:keepNext/>
              <w:spacing w:before="60" w:after="60"/>
              <w:rPr>
                <w:rFonts w:cs="Arial"/>
              </w:rPr>
            </w:pPr>
            <w:r>
              <w:rPr>
                <w:rFonts w:cs="Arial"/>
              </w:rPr>
              <w:t>Implementation of legislative, regulatory or code changes</w:t>
            </w:r>
          </w:p>
        </w:tc>
        <w:tc>
          <w:tcPr>
            <w:tcW w:w="1937" w:type="pct"/>
            <w:vAlign w:val="top"/>
          </w:tcPr>
          <w:p w14:paraId="257717C4" w14:textId="7319F832" w:rsidR="0088623A" w:rsidRPr="00BF6C88" w:rsidRDefault="00D6180F" w:rsidP="00412503">
            <w:pPr>
              <w:keepNext/>
              <w:spacing w:before="60" w:after="60"/>
              <w:cnfStyle w:val="000000100000" w:firstRow="0" w:lastRow="0" w:firstColumn="0" w:lastColumn="0" w:oddVBand="0" w:evenVBand="0" w:oddHBand="1" w:evenHBand="0" w:firstRowFirstColumn="0" w:firstRowLastColumn="0" w:lastRowFirstColumn="0" w:lastRowLastColumn="0"/>
              <w:rPr>
                <w:rFonts w:cs="Arial"/>
              </w:rPr>
            </w:pPr>
            <w:r w:rsidRPr="00BF6C88">
              <w:rPr>
                <w:rFonts w:cs="Arial"/>
              </w:rPr>
              <w:t>Early 2021</w:t>
            </w:r>
          </w:p>
        </w:tc>
      </w:tr>
      <w:tr w:rsidR="0088623A" w14:paraId="4192816B" w14:textId="77777777" w:rsidTr="008218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3" w:type="pct"/>
            <w:vAlign w:val="top"/>
          </w:tcPr>
          <w:p w14:paraId="37AB9CFA" w14:textId="77777777" w:rsidR="0088623A" w:rsidRDefault="0088623A" w:rsidP="00412503">
            <w:pPr>
              <w:keepNext/>
              <w:spacing w:before="60" w:after="60"/>
              <w:rPr>
                <w:rFonts w:cs="Arial"/>
              </w:rPr>
            </w:pPr>
            <w:r>
              <w:rPr>
                <w:rFonts w:cs="Arial"/>
              </w:rPr>
              <w:t>Implementation of required procedures and systems</w:t>
            </w:r>
          </w:p>
        </w:tc>
        <w:tc>
          <w:tcPr>
            <w:tcW w:w="1937" w:type="pct"/>
            <w:vAlign w:val="top"/>
          </w:tcPr>
          <w:p w14:paraId="4DB205BA" w14:textId="070F63DE" w:rsidR="0088623A" w:rsidRPr="00BF6C88" w:rsidRDefault="00D6180F" w:rsidP="00412503">
            <w:pPr>
              <w:keepNext/>
              <w:spacing w:before="60" w:after="60"/>
              <w:cnfStyle w:val="000000010000" w:firstRow="0" w:lastRow="0" w:firstColumn="0" w:lastColumn="0" w:oddVBand="0" w:evenVBand="0" w:oddHBand="0" w:evenHBand="1" w:firstRowFirstColumn="0" w:firstRowLastColumn="0" w:lastRowFirstColumn="0" w:lastRowLastColumn="0"/>
              <w:rPr>
                <w:rFonts w:cs="Arial"/>
              </w:rPr>
            </w:pPr>
            <w:r w:rsidRPr="00BF6C88">
              <w:rPr>
                <w:rFonts w:cs="Arial"/>
              </w:rPr>
              <w:t>Mid 2021</w:t>
            </w:r>
          </w:p>
        </w:tc>
      </w:tr>
      <w:tr w:rsidR="0088623A" w14:paraId="0EF15F53" w14:textId="77777777" w:rsidTr="008218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3" w:type="pct"/>
            <w:vAlign w:val="top"/>
          </w:tcPr>
          <w:p w14:paraId="2C7BBF56" w14:textId="77777777" w:rsidR="0088623A" w:rsidRDefault="001535CC" w:rsidP="00412503">
            <w:pPr>
              <w:keepNext/>
              <w:spacing w:before="60" w:after="60"/>
              <w:rPr>
                <w:rFonts w:cs="Arial"/>
              </w:rPr>
            </w:pPr>
            <w:r>
              <w:rPr>
                <w:rFonts w:cs="Arial"/>
              </w:rPr>
              <w:t xml:space="preserve">Commencement of </w:t>
            </w:r>
            <w:r w:rsidR="0088623A">
              <w:rPr>
                <w:rFonts w:cs="Arial"/>
              </w:rPr>
              <w:t>essential system service changes</w:t>
            </w:r>
          </w:p>
        </w:tc>
        <w:tc>
          <w:tcPr>
            <w:tcW w:w="1937" w:type="pct"/>
            <w:vAlign w:val="top"/>
          </w:tcPr>
          <w:p w14:paraId="22681B70" w14:textId="008FA007" w:rsidR="0088623A" w:rsidRPr="00BF6C88" w:rsidRDefault="00CE0480" w:rsidP="00412503">
            <w:pPr>
              <w:keepNext/>
              <w:spacing w:before="60" w:after="60"/>
              <w:cnfStyle w:val="000000100000" w:firstRow="0" w:lastRow="0" w:firstColumn="0" w:lastColumn="0" w:oddVBand="0" w:evenVBand="0" w:oddHBand="1" w:evenHBand="0" w:firstRowFirstColumn="0" w:firstRowLastColumn="0" w:lastRowFirstColumn="0" w:lastRowLastColumn="0"/>
              <w:rPr>
                <w:rFonts w:cs="Arial"/>
              </w:rPr>
            </w:pPr>
            <w:r>
              <w:rPr>
                <w:rFonts w:cs="Arial"/>
              </w:rPr>
              <w:t>Late</w:t>
            </w:r>
            <w:r w:rsidR="00D6180F" w:rsidRPr="00BF6C88">
              <w:rPr>
                <w:rFonts w:cs="Arial"/>
              </w:rPr>
              <w:t xml:space="preserve"> 2021</w:t>
            </w:r>
          </w:p>
        </w:tc>
      </w:tr>
    </w:tbl>
    <w:p w14:paraId="5CE29924" w14:textId="77777777" w:rsidR="0088623A" w:rsidRDefault="0088623A" w:rsidP="002F64A1">
      <w:pPr>
        <w:spacing w:after="60"/>
        <w:rPr>
          <w:rFonts w:cs="Arial"/>
          <w:b/>
        </w:rPr>
      </w:pPr>
    </w:p>
    <w:tbl>
      <w:tblPr>
        <w:tblStyle w:val="TableGrid"/>
        <w:tblW w:w="5000" w:type="pct"/>
        <w:tblLook w:val="04A0" w:firstRow="1" w:lastRow="0" w:firstColumn="1" w:lastColumn="0" w:noHBand="0" w:noVBand="1"/>
      </w:tblPr>
      <w:tblGrid>
        <w:gridCol w:w="10308"/>
      </w:tblGrid>
      <w:tr w:rsidR="00CB560D" w14:paraId="3215B15D" w14:textId="77777777" w:rsidTr="008218E4">
        <w:tc>
          <w:tcPr>
            <w:tcW w:w="5000" w:type="pct"/>
          </w:tcPr>
          <w:p w14:paraId="4CB9756D" w14:textId="77777777" w:rsidR="00CB560D" w:rsidRPr="002F64A1" w:rsidRDefault="00CB560D" w:rsidP="00CB560D">
            <w:pPr>
              <w:spacing w:before="120" w:after="120"/>
              <w:rPr>
                <w:rFonts w:asciiTheme="minorHAnsi" w:hAnsiTheme="minorHAnsi" w:cs="Arial"/>
                <w:b/>
              </w:rPr>
            </w:pPr>
            <w:r w:rsidRPr="002F64A1">
              <w:rPr>
                <w:rFonts w:asciiTheme="minorHAnsi" w:hAnsiTheme="minorHAnsi" w:cs="Arial"/>
                <w:b/>
              </w:rPr>
              <w:t>Question 1</w:t>
            </w:r>
          </w:p>
          <w:p w14:paraId="01DAB516" w14:textId="135F2842" w:rsidR="00CB560D" w:rsidRPr="002F64A1" w:rsidRDefault="00CB560D" w:rsidP="009F1A6F">
            <w:pPr>
              <w:pStyle w:val="ListParagraph"/>
              <w:numPr>
                <w:ilvl w:val="0"/>
                <w:numId w:val="15"/>
              </w:numPr>
              <w:spacing w:before="120"/>
              <w:ind w:left="357" w:hanging="357"/>
              <w:rPr>
                <w:rFonts w:asciiTheme="minorHAnsi" w:eastAsia="Calibri" w:hAnsiTheme="minorHAnsi" w:cs="Arial"/>
                <w:iCs w:val="0"/>
              </w:rPr>
            </w:pPr>
            <w:r w:rsidRPr="002F64A1">
              <w:rPr>
                <w:rFonts w:asciiTheme="minorHAnsi" w:eastAsia="Calibri" w:hAnsiTheme="minorHAnsi" w:cs="Arial"/>
                <w:iCs w:val="0"/>
              </w:rPr>
              <w:t xml:space="preserve">Are there other context or developments relevant to the review that the </w:t>
            </w:r>
            <w:r w:rsidR="00DD050A">
              <w:rPr>
                <w:rFonts w:asciiTheme="minorHAnsi" w:eastAsia="Calibri" w:hAnsiTheme="minorHAnsi" w:cs="Arial"/>
                <w:iCs w:val="0"/>
              </w:rPr>
              <w:t xml:space="preserve">Design Development Team </w:t>
            </w:r>
            <w:r w:rsidRPr="002F64A1">
              <w:rPr>
                <w:rFonts w:asciiTheme="minorHAnsi" w:eastAsia="Calibri" w:hAnsiTheme="minorHAnsi" w:cs="Arial"/>
                <w:iCs w:val="0"/>
              </w:rPr>
              <w:t>should take into consideration?</w:t>
            </w:r>
          </w:p>
          <w:p w14:paraId="3E61C257" w14:textId="4B26866C" w:rsidR="00CB560D" w:rsidRPr="002F64A1" w:rsidRDefault="00CB560D" w:rsidP="009F1A6F">
            <w:pPr>
              <w:pStyle w:val="ListParagraph"/>
              <w:numPr>
                <w:ilvl w:val="0"/>
                <w:numId w:val="15"/>
              </w:numPr>
              <w:spacing w:before="120"/>
              <w:ind w:left="357" w:hanging="357"/>
              <w:rPr>
                <w:rFonts w:asciiTheme="minorHAnsi" w:eastAsia="Calibri" w:hAnsiTheme="minorHAnsi" w:cs="Arial"/>
                <w:iCs w:val="0"/>
              </w:rPr>
            </w:pPr>
            <w:r w:rsidRPr="002F64A1">
              <w:rPr>
                <w:rFonts w:asciiTheme="minorHAnsi" w:eastAsia="Calibri" w:hAnsiTheme="minorHAnsi" w:cs="Arial"/>
                <w:iCs w:val="0"/>
              </w:rPr>
              <w:t>Is the approach to the review</w:t>
            </w:r>
            <w:r w:rsidR="00E049DE">
              <w:rPr>
                <w:rFonts w:asciiTheme="minorHAnsi" w:eastAsia="Calibri" w:hAnsiTheme="minorHAnsi" w:cs="Arial"/>
                <w:iCs w:val="0"/>
              </w:rPr>
              <w:t>,</w:t>
            </w:r>
            <w:r w:rsidRPr="002F64A1">
              <w:rPr>
                <w:rFonts w:asciiTheme="minorHAnsi" w:eastAsia="Calibri" w:hAnsiTheme="minorHAnsi" w:cs="Arial"/>
                <w:iCs w:val="0"/>
              </w:rPr>
              <w:t xml:space="preserve"> which ties ESS market design principles back to the National Electricity Objective</w:t>
            </w:r>
            <w:r w:rsidR="00E049DE">
              <w:rPr>
                <w:rFonts w:asciiTheme="minorHAnsi" w:eastAsia="Calibri" w:hAnsiTheme="minorHAnsi" w:cs="Arial"/>
                <w:iCs w:val="0"/>
              </w:rPr>
              <w:t>,</w:t>
            </w:r>
            <w:r w:rsidRPr="002F64A1">
              <w:rPr>
                <w:rFonts w:asciiTheme="minorHAnsi" w:eastAsia="Calibri" w:hAnsiTheme="minorHAnsi" w:cs="Arial"/>
                <w:iCs w:val="0"/>
              </w:rPr>
              <w:t xml:space="preserve"> appropriate? </w:t>
            </w:r>
          </w:p>
          <w:p w14:paraId="47696A09" w14:textId="77777777" w:rsidR="00CB560D" w:rsidRPr="002F64A1" w:rsidRDefault="00CB560D" w:rsidP="009F1A6F">
            <w:pPr>
              <w:pStyle w:val="ListParagraph"/>
              <w:numPr>
                <w:ilvl w:val="0"/>
                <w:numId w:val="15"/>
              </w:numPr>
              <w:spacing w:before="120"/>
              <w:ind w:left="357" w:hanging="357"/>
              <w:rPr>
                <w:rFonts w:asciiTheme="minorHAnsi" w:eastAsia="Calibri" w:hAnsiTheme="minorHAnsi" w:cs="Arial"/>
                <w:iCs w:val="0"/>
              </w:rPr>
            </w:pPr>
            <w:r w:rsidRPr="002F64A1">
              <w:rPr>
                <w:rFonts w:asciiTheme="minorHAnsi" w:eastAsia="Calibri" w:hAnsiTheme="minorHAnsi" w:cs="Arial"/>
                <w:iCs w:val="0"/>
              </w:rPr>
              <w:t>Are there other relevant matters which should be considered?</w:t>
            </w:r>
          </w:p>
        </w:tc>
      </w:tr>
    </w:tbl>
    <w:p w14:paraId="05420B50" w14:textId="77777777" w:rsidR="00CB560D" w:rsidRPr="006A08F8" w:rsidRDefault="00CB560D" w:rsidP="00CB560D">
      <w:pPr>
        <w:rPr>
          <w:rFonts w:ascii="Arial" w:hAnsi="Arial" w:cs="Arial"/>
        </w:rPr>
      </w:pPr>
    </w:p>
    <w:p w14:paraId="51B8BD53" w14:textId="77777777" w:rsidR="00CB560D" w:rsidRDefault="00CB560D" w:rsidP="00CB560D">
      <w:pPr>
        <w:rPr>
          <w:rFonts w:ascii="Arial" w:hAnsi="Arial" w:cs="Arial"/>
        </w:rPr>
      </w:pPr>
    </w:p>
    <w:p w14:paraId="3743FB02" w14:textId="77777777" w:rsidR="00CB560D" w:rsidRDefault="00CB560D" w:rsidP="00CB560D">
      <w:pPr>
        <w:rPr>
          <w:rFonts w:ascii="Arial" w:hAnsi="Arial" w:cs="Arial"/>
        </w:rPr>
      </w:pPr>
      <w:r>
        <w:rPr>
          <w:rFonts w:ascii="Arial" w:hAnsi="Arial" w:cs="Arial"/>
        </w:rPr>
        <w:br w:type="page"/>
      </w:r>
    </w:p>
    <w:p w14:paraId="46015E1B" w14:textId="1E906D8F" w:rsidR="00CB560D" w:rsidRPr="00CB560D" w:rsidRDefault="00D24175" w:rsidP="00CB560D">
      <w:pPr>
        <w:pStyle w:val="Heading1"/>
        <w:rPr>
          <w:lang w:eastAsia="en-AU"/>
        </w:rPr>
      </w:pPr>
      <w:bookmarkStart w:id="6" w:name="_Toc42779153"/>
      <w:r>
        <w:rPr>
          <w:lang w:eastAsia="en-AU"/>
        </w:rPr>
        <w:lastRenderedPageBreak/>
        <w:t>Categorisation</w:t>
      </w:r>
      <w:r w:rsidR="00CB560D" w:rsidRPr="00CB560D">
        <w:rPr>
          <w:lang w:eastAsia="en-AU"/>
        </w:rPr>
        <w:t xml:space="preserve"> and </w:t>
      </w:r>
      <w:r>
        <w:rPr>
          <w:lang w:eastAsia="en-AU"/>
        </w:rPr>
        <w:t>definition</w:t>
      </w:r>
      <w:r w:rsidR="00CB560D" w:rsidRPr="00CB560D">
        <w:rPr>
          <w:lang w:eastAsia="en-AU"/>
        </w:rPr>
        <w:t xml:space="preserve"> of services</w:t>
      </w:r>
      <w:bookmarkEnd w:id="6"/>
    </w:p>
    <w:p w14:paraId="3D841E9B" w14:textId="77777777" w:rsidR="00CB560D" w:rsidRPr="002F64A1" w:rsidRDefault="00CB560D" w:rsidP="00CB560D">
      <w:pPr>
        <w:rPr>
          <w:rFonts w:asciiTheme="minorHAnsi" w:hAnsiTheme="minorHAnsi" w:cs="Arial"/>
        </w:rPr>
      </w:pPr>
      <w:r w:rsidRPr="002F64A1">
        <w:rPr>
          <w:rFonts w:asciiTheme="minorHAnsi" w:hAnsiTheme="minorHAnsi" w:cs="Arial"/>
        </w:rPr>
        <w:t>Clear definitions and specifications of discrete ESS components necessarily underpin any reforms to ESS arrangements in the Territory’s regulated electricity systems.</w:t>
      </w:r>
    </w:p>
    <w:p w14:paraId="1096F043" w14:textId="4D3259E4" w:rsidR="00CB560D" w:rsidRPr="002F64A1" w:rsidRDefault="00CB560D" w:rsidP="00CB560D">
      <w:pPr>
        <w:rPr>
          <w:rFonts w:asciiTheme="minorHAnsi" w:hAnsiTheme="minorHAnsi" w:cs="Arial"/>
        </w:rPr>
      </w:pPr>
      <w:r w:rsidRPr="002F64A1">
        <w:rPr>
          <w:rFonts w:asciiTheme="minorHAnsi" w:hAnsiTheme="minorHAnsi" w:cs="Arial"/>
        </w:rPr>
        <w:t>Under the three broad categories of ESS referred to in Section 1.1 (Frequency Management, Voltage Management, and Restart Services), a range of more specific electricity system support services have been defined for use in the Territory and other Australian electricity systems.</w:t>
      </w:r>
    </w:p>
    <w:p w14:paraId="098BE68D" w14:textId="63574CBA" w:rsidR="00CB560D" w:rsidRPr="002F64A1" w:rsidRDefault="00CB560D" w:rsidP="00CB560D">
      <w:pPr>
        <w:rPr>
          <w:rFonts w:asciiTheme="minorHAnsi" w:hAnsiTheme="minorHAnsi" w:cs="Arial"/>
        </w:rPr>
      </w:pPr>
      <w:r w:rsidRPr="002F64A1">
        <w:rPr>
          <w:rFonts w:asciiTheme="minorHAnsi" w:hAnsiTheme="minorHAnsi" w:cs="Arial"/>
        </w:rPr>
        <w:t>Appropriately defining ESS for the Territory context is critical, and will be a complex and technical exercise. It is proposed that expert technical advisers will independently advise the De</w:t>
      </w:r>
      <w:r w:rsidR="00DD050A">
        <w:rPr>
          <w:rFonts w:asciiTheme="minorHAnsi" w:hAnsiTheme="minorHAnsi" w:cs="Arial"/>
        </w:rPr>
        <w:t>sign Development Team</w:t>
      </w:r>
      <w:r w:rsidRPr="002F64A1">
        <w:rPr>
          <w:rFonts w:asciiTheme="minorHAnsi" w:hAnsiTheme="minorHAnsi" w:cs="Arial"/>
        </w:rPr>
        <w:t xml:space="preserve"> on appropriate ESS definitions. Importantly, this work will need to </w:t>
      </w:r>
      <w:r w:rsidR="00DD050A">
        <w:rPr>
          <w:rFonts w:asciiTheme="minorHAnsi" w:hAnsiTheme="minorHAnsi" w:cs="Arial"/>
        </w:rPr>
        <w:t>include</w:t>
      </w:r>
      <w:r w:rsidRPr="002F64A1">
        <w:rPr>
          <w:rFonts w:asciiTheme="minorHAnsi" w:hAnsiTheme="minorHAnsi" w:cs="Arial"/>
        </w:rPr>
        <w:t xml:space="preserve"> consultation and input from </w:t>
      </w:r>
      <w:r w:rsidR="00D24175">
        <w:rPr>
          <w:rFonts w:asciiTheme="minorHAnsi" w:hAnsiTheme="minorHAnsi" w:cs="Arial"/>
        </w:rPr>
        <w:t xml:space="preserve">the </w:t>
      </w:r>
      <w:r w:rsidRPr="002F64A1">
        <w:rPr>
          <w:rFonts w:asciiTheme="minorHAnsi" w:hAnsiTheme="minorHAnsi" w:cs="Arial"/>
        </w:rPr>
        <w:t>System Controller</w:t>
      </w:r>
      <w:r w:rsidR="00D24175">
        <w:rPr>
          <w:rFonts w:asciiTheme="minorHAnsi" w:hAnsiTheme="minorHAnsi" w:cs="Arial"/>
        </w:rPr>
        <w:t>, Network Operator</w:t>
      </w:r>
      <w:r w:rsidRPr="002F64A1">
        <w:rPr>
          <w:rFonts w:asciiTheme="minorHAnsi" w:hAnsiTheme="minorHAnsi" w:cs="Arial"/>
        </w:rPr>
        <w:t xml:space="preserve"> and industry.</w:t>
      </w:r>
    </w:p>
    <w:p w14:paraId="57186924" w14:textId="77777777" w:rsidR="00CB560D" w:rsidRPr="00CB560D" w:rsidRDefault="00CB560D" w:rsidP="00CB560D">
      <w:pPr>
        <w:pStyle w:val="Heading2"/>
        <w:keepNext/>
        <w:rPr>
          <w:lang w:eastAsia="en-AU"/>
        </w:rPr>
      </w:pPr>
      <w:bookmarkStart w:id="7" w:name="_Toc42779154"/>
      <w:r w:rsidRPr="00CB560D">
        <w:rPr>
          <w:lang w:eastAsia="en-AU"/>
        </w:rPr>
        <w:t>Current arrangements</w:t>
      </w:r>
      <w:bookmarkEnd w:id="7"/>
    </w:p>
    <w:p w14:paraId="5E867393" w14:textId="56C814D5" w:rsidR="00CB560D" w:rsidRPr="002F64A1" w:rsidRDefault="00511C43" w:rsidP="00CB560D">
      <w:pPr>
        <w:rPr>
          <w:rFonts w:asciiTheme="minorHAnsi" w:hAnsiTheme="minorHAnsi" w:cs="Arial"/>
        </w:rPr>
      </w:pPr>
      <w:r>
        <w:rPr>
          <w:rFonts w:asciiTheme="minorHAnsi" w:hAnsiTheme="minorHAnsi" w:cs="Arial"/>
        </w:rPr>
        <w:t xml:space="preserve">The </w:t>
      </w:r>
      <w:r w:rsidR="00CB560D" w:rsidRPr="002F64A1">
        <w:rPr>
          <w:rFonts w:asciiTheme="minorHAnsi" w:hAnsiTheme="minorHAnsi" w:cs="Arial"/>
        </w:rPr>
        <w:t>ESS</w:t>
      </w:r>
      <w:r w:rsidR="00D24175">
        <w:rPr>
          <w:rFonts w:asciiTheme="minorHAnsi" w:hAnsiTheme="minorHAnsi" w:cs="Arial"/>
        </w:rPr>
        <w:t xml:space="preserve"> currently</w:t>
      </w:r>
      <w:r>
        <w:rPr>
          <w:rFonts w:asciiTheme="minorHAnsi" w:hAnsiTheme="minorHAnsi" w:cs="Arial"/>
        </w:rPr>
        <w:t xml:space="preserve"> defined for use</w:t>
      </w:r>
      <w:r w:rsidR="00CB560D" w:rsidRPr="002F64A1">
        <w:rPr>
          <w:rFonts w:asciiTheme="minorHAnsi" w:hAnsiTheme="minorHAnsi" w:cs="Arial"/>
        </w:rPr>
        <w:t xml:space="preserve"> in the Territory (referred to as Ancillary Services) are </w:t>
      </w:r>
      <w:r>
        <w:rPr>
          <w:rFonts w:asciiTheme="minorHAnsi" w:hAnsiTheme="minorHAnsi" w:cs="Arial"/>
        </w:rPr>
        <w:t>set out</w:t>
      </w:r>
      <w:r w:rsidR="00CB560D" w:rsidRPr="002F64A1">
        <w:rPr>
          <w:rFonts w:asciiTheme="minorHAnsi" w:hAnsiTheme="minorHAnsi" w:cs="Arial"/>
        </w:rPr>
        <w:t xml:space="preserve"> in the NTC and SCTC and further specified</w:t>
      </w:r>
      <w:r>
        <w:rPr>
          <w:rFonts w:asciiTheme="minorHAnsi" w:hAnsiTheme="minorHAnsi" w:cs="Arial"/>
        </w:rPr>
        <w:t>,</w:t>
      </w:r>
      <w:r w:rsidR="00CB560D" w:rsidRPr="002F64A1">
        <w:rPr>
          <w:rFonts w:asciiTheme="minorHAnsi" w:hAnsiTheme="minorHAnsi" w:cs="Arial"/>
        </w:rPr>
        <w:t xml:space="preserve"> to varying degrees, in the SSG (Table </w:t>
      </w:r>
      <w:r w:rsidR="00222483">
        <w:rPr>
          <w:rFonts w:asciiTheme="minorHAnsi" w:hAnsiTheme="minorHAnsi" w:cs="Arial"/>
        </w:rPr>
        <w:t>2</w:t>
      </w:r>
      <w:r w:rsidR="00CB560D" w:rsidRPr="002F64A1">
        <w:rPr>
          <w:rFonts w:asciiTheme="minorHAnsi" w:hAnsiTheme="minorHAnsi" w:cs="Arial"/>
        </w:rPr>
        <w:t>).</w:t>
      </w:r>
    </w:p>
    <w:p w14:paraId="670CC503" w14:textId="48693085" w:rsidR="00CB560D" w:rsidRPr="002F64A1" w:rsidRDefault="00CB560D" w:rsidP="00BE0579">
      <w:pPr>
        <w:pStyle w:val="Heading3"/>
      </w:pPr>
      <w:r w:rsidRPr="002F64A1">
        <w:t xml:space="preserve">Frequency </w:t>
      </w:r>
      <w:r w:rsidR="00D24175">
        <w:t>M</w:t>
      </w:r>
      <w:r w:rsidRPr="002F64A1">
        <w:t>anagement</w:t>
      </w:r>
    </w:p>
    <w:p w14:paraId="6FEEF288" w14:textId="067737A3" w:rsidR="00CB560D" w:rsidRPr="002F64A1" w:rsidRDefault="00CB560D" w:rsidP="00CB560D">
      <w:pPr>
        <w:rPr>
          <w:rFonts w:asciiTheme="minorHAnsi" w:hAnsiTheme="minorHAnsi" w:cs="Arial"/>
        </w:rPr>
      </w:pPr>
      <w:r w:rsidRPr="002F64A1">
        <w:rPr>
          <w:rFonts w:asciiTheme="minorHAnsi" w:hAnsiTheme="minorHAnsi" w:cs="Arial"/>
        </w:rPr>
        <w:t xml:space="preserve">Notwithstanding the range of frequency-related services recognised in the SCTC, NTC and SSG, in practice the System Controller </w:t>
      </w:r>
      <w:r w:rsidR="00C6104D">
        <w:rPr>
          <w:rFonts w:asciiTheme="minorHAnsi" w:hAnsiTheme="minorHAnsi" w:cs="Arial"/>
        </w:rPr>
        <w:t xml:space="preserve">currently </w:t>
      </w:r>
      <w:r w:rsidRPr="002F64A1">
        <w:rPr>
          <w:rFonts w:asciiTheme="minorHAnsi" w:hAnsiTheme="minorHAnsi" w:cs="Arial"/>
        </w:rPr>
        <w:t>delivers frequency management under a bundled Spinning Reserve policy.</w:t>
      </w:r>
      <w:r w:rsidR="00511C43">
        <w:rPr>
          <w:rStyle w:val="FootnoteReference"/>
          <w:rFonts w:asciiTheme="minorHAnsi" w:hAnsiTheme="minorHAnsi" w:cs="Arial"/>
        </w:rPr>
        <w:footnoteReference w:id="5"/>
      </w:r>
    </w:p>
    <w:p w14:paraId="3CDB4192" w14:textId="17D0470C" w:rsidR="00CB560D" w:rsidRPr="002F64A1" w:rsidRDefault="00CB560D" w:rsidP="00CB560D">
      <w:pPr>
        <w:rPr>
          <w:rFonts w:asciiTheme="minorHAnsi" w:hAnsiTheme="minorHAnsi" w:cs="Arial"/>
        </w:rPr>
      </w:pPr>
      <w:r w:rsidRPr="002F64A1">
        <w:rPr>
          <w:rFonts w:asciiTheme="minorHAnsi" w:hAnsiTheme="minorHAnsi" w:cs="Arial"/>
        </w:rPr>
        <w:t>Spinning Reserve is the practice of holding generators online at reduced output to provide reserve capacity to deliver a bundle of frequency management services</w:t>
      </w:r>
      <w:r w:rsidR="00A3123A">
        <w:rPr>
          <w:rFonts w:asciiTheme="minorHAnsi" w:hAnsiTheme="minorHAnsi" w:cs="Arial"/>
        </w:rPr>
        <w:t xml:space="preserve"> including for inertia and to accommodate forecasted change in system load</w:t>
      </w:r>
      <w:r w:rsidRPr="002F64A1">
        <w:rPr>
          <w:rFonts w:asciiTheme="minorHAnsi" w:hAnsiTheme="minorHAnsi" w:cs="Arial"/>
        </w:rPr>
        <w:t xml:space="preserve"> and to respond to contingency event</w:t>
      </w:r>
      <w:r w:rsidR="00511C43">
        <w:rPr>
          <w:rFonts w:asciiTheme="minorHAnsi" w:hAnsiTheme="minorHAnsi" w:cs="Arial"/>
        </w:rPr>
        <w:t>s</w:t>
      </w:r>
      <w:r w:rsidRPr="002F64A1">
        <w:rPr>
          <w:rFonts w:asciiTheme="minorHAnsi" w:hAnsiTheme="minorHAnsi" w:cs="Arial"/>
        </w:rPr>
        <w:t>.</w:t>
      </w:r>
    </w:p>
    <w:p w14:paraId="426F42C0" w14:textId="2C4262F7" w:rsidR="00CB560D" w:rsidRPr="002F64A1" w:rsidRDefault="00CB560D" w:rsidP="00BE0579">
      <w:pPr>
        <w:pStyle w:val="Heading3"/>
      </w:pPr>
      <w:r w:rsidRPr="002F64A1">
        <w:t xml:space="preserve">Voltage </w:t>
      </w:r>
      <w:r w:rsidR="00D24175">
        <w:t>M</w:t>
      </w:r>
      <w:r w:rsidRPr="002F64A1">
        <w:t>anagement</w:t>
      </w:r>
    </w:p>
    <w:p w14:paraId="416088E1" w14:textId="09DB5BC6" w:rsidR="00CB560D" w:rsidRPr="002F64A1" w:rsidRDefault="00CB560D" w:rsidP="00CB560D">
      <w:pPr>
        <w:rPr>
          <w:rFonts w:asciiTheme="minorHAnsi" w:hAnsiTheme="minorHAnsi" w:cs="Arial"/>
        </w:rPr>
      </w:pPr>
      <w:r w:rsidRPr="002F64A1">
        <w:rPr>
          <w:rFonts w:asciiTheme="minorHAnsi" w:hAnsiTheme="minorHAnsi" w:cs="Arial"/>
        </w:rPr>
        <w:t>Voltage control is managed through balancing the production or absorption of reactive power. The NTC identifies that reactive power control can be provided by a range of different types of facilities, including generators, synchronous condensers and capacitors.</w:t>
      </w:r>
    </w:p>
    <w:p w14:paraId="2F70045E" w14:textId="3F5C7DB1" w:rsidR="00CB560D" w:rsidRPr="002F64A1" w:rsidRDefault="00C6104D" w:rsidP="00CB560D">
      <w:pPr>
        <w:rPr>
          <w:rFonts w:asciiTheme="minorHAnsi" w:hAnsiTheme="minorHAnsi" w:cs="Arial"/>
        </w:rPr>
      </w:pPr>
      <w:r>
        <w:rPr>
          <w:rFonts w:asciiTheme="minorHAnsi" w:hAnsiTheme="minorHAnsi" w:cs="Arial"/>
        </w:rPr>
        <w:t>T</w:t>
      </w:r>
      <w:r w:rsidR="00CB560D" w:rsidRPr="002F64A1">
        <w:rPr>
          <w:rFonts w:asciiTheme="minorHAnsi" w:hAnsiTheme="minorHAnsi" w:cs="Arial"/>
        </w:rPr>
        <w:t>he Network Operator is responsible for arranging sufficient reactive power facilities through contractual arrangements for ancillary services with users, obligations on the part of users or under their connection agreements, or provision of the facilities by the Network Operator</w:t>
      </w:r>
      <w:r w:rsidR="00511C43">
        <w:rPr>
          <w:rFonts w:asciiTheme="minorHAnsi" w:hAnsiTheme="minorHAnsi" w:cs="Arial"/>
        </w:rPr>
        <w:t xml:space="preserve"> itself</w:t>
      </w:r>
      <w:r w:rsidR="00CB560D" w:rsidRPr="002F64A1">
        <w:rPr>
          <w:rFonts w:asciiTheme="minorHAnsi" w:hAnsiTheme="minorHAnsi" w:cs="Arial"/>
        </w:rPr>
        <w:t>.</w:t>
      </w:r>
      <w:r w:rsidR="00CB560D" w:rsidRPr="002F64A1">
        <w:rPr>
          <w:rFonts w:asciiTheme="minorHAnsi" w:hAnsiTheme="minorHAnsi"/>
          <w:vertAlign w:val="superscript"/>
        </w:rPr>
        <w:footnoteReference w:id="6"/>
      </w:r>
    </w:p>
    <w:p w14:paraId="776461D0" w14:textId="77777777" w:rsidR="00CB560D" w:rsidRPr="002F64A1" w:rsidRDefault="00CB560D" w:rsidP="00BE0579">
      <w:pPr>
        <w:pStyle w:val="Heading3"/>
      </w:pPr>
      <w:r w:rsidRPr="002F64A1">
        <w:t>System Restart</w:t>
      </w:r>
    </w:p>
    <w:p w14:paraId="61095655" w14:textId="5A4EC312" w:rsidR="00CB560D" w:rsidRPr="002F64A1" w:rsidRDefault="00CB560D" w:rsidP="00CB560D">
      <w:pPr>
        <w:rPr>
          <w:rFonts w:asciiTheme="minorHAnsi" w:hAnsiTheme="minorHAnsi" w:cs="Arial"/>
        </w:rPr>
      </w:pPr>
      <w:r w:rsidRPr="002F64A1">
        <w:rPr>
          <w:rFonts w:asciiTheme="minorHAnsi" w:hAnsiTheme="minorHAnsi" w:cs="Arial"/>
        </w:rPr>
        <w:t>Black start capability</w:t>
      </w:r>
      <w:r w:rsidR="00C6104D">
        <w:rPr>
          <w:rFonts w:asciiTheme="minorHAnsi" w:hAnsiTheme="minorHAnsi" w:cs="Arial"/>
        </w:rPr>
        <w:t>,</w:t>
      </w:r>
      <w:r w:rsidRPr="002F64A1">
        <w:rPr>
          <w:rFonts w:asciiTheme="minorHAnsi" w:hAnsiTheme="minorHAnsi" w:cs="Arial"/>
        </w:rPr>
        <w:t xml:space="preserve"> in relation to a generating unit, is the ability to start and synchronise without using supply from the power system.</w:t>
      </w:r>
      <w:r w:rsidR="009B407B">
        <w:rPr>
          <w:rStyle w:val="FootnoteReference"/>
          <w:rFonts w:asciiTheme="minorHAnsi" w:hAnsiTheme="minorHAnsi" w:cs="Arial"/>
        </w:rPr>
        <w:footnoteReference w:id="7"/>
      </w:r>
    </w:p>
    <w:p w14:paraId="3E41D8C4" w14:textId="77777777" w:rsidR="00CB560D" w:rsidRDefault="00CB560D" w:rsidP="00CB560D">
      <w:pPr>
        <w:rPr>
          <w:rFonts w:ascii="Arial" w:hAnsi="Arial" w:cs="Arial"/>
        </w:rPr>
        <w:sectPr w:rsidR="00CB560D" w:rsidSect="0021322F">
          <w:headerReference w:type="default" r:id="rId17"/>
          <w:footerReference w:type="default" r:id="rId18"/>
          <w:pgSz w:w="11906" w:h="16838"/>
          <w:pgMar w:top="794" w:right="794" w:bottom="794" w:left="794" w:header="709" w:footer="709" w:gutter="0"/>
          <w:cols w:space="708"/>
          <w:docGrid w:linePitch="360"/>
        </w:sectPr>
      </w:pPr>
    </w:p>
    <w:p w14:paraId="7F25A187" w14:textId="1A9E663A" w:rsidR="003F61A2" w:rsidRPr="00D54F69" w:rsidRDefault="003F61A2" w:rsidP="003F61A2">
      <w:pPr>
        <w:spacing w:after="60"/>
        <w:rPr>
          <w:rFonts w:cs="Arial"/>
          <w:b/>
        </w:rPr>
      </w:pPr>
      <w:r w:rsidRPr="00D54F69">
        <w:rPr>
          <w:rFonts w:cs="Arial"/>
          <w:b/>
        </w:rPr>
        <w:lastRenderedPageBreak/>
        <w:t xml:space="preserve">Table </w:t>
      </w:r>
      <w:r w:rsidR="00BF70FC">
        <w:rPr>
          <w:rFonts w:cs="Arial"/>
          <w:b/>
        </w:rPr>
        <w:t>2</w:t>
      </w:r>
      <w:r w:rsidRPr="00D54F69">
        <w:rPr>
          <w:rFonts w:cs="Arial"/>
          <w:b/>
        </w:rPr>
        <w:t xml:space="preserve"> –</w:t>
      </w:r>
      <w:r>
        <w:rPr>
          <w:rFonts w:cs="Arial"/>
          <w:b/>
        </w:rPr>
        <w:t xml:space="preserve"> </w:t>
      </w:r>
      <w:r w:rsidR="003D2E5E">
        <w:rPr>
          <w:rFonts w:cs="Arial"/>
          <w:b/>
        </w:rPr>
        <w:t>Essential System Services</w:t>
      </w:r>
      <w:r w:rsidR="003D2E5E" w:rsidRPr="003D2E5E">
        <w:rPr>
          <w:rFonts w:cs="Arial"/>
          <w:b/>
        </w:rPr>
        <w:t xml:space="preserve"> referenced, defined or specified for the Northern Territory’s regulated electricity systems</w:t>
      </w:r>
    </w:p>
    <w:tbl>
      <w:tblPr>
        <w:tblStyle w:val="NTGtable1"/>
        <w:tblW w:w="0" w:type="auto"/>
        <w:tblLayout w:type="fixed"/>
        <w:tblLook w:val="04A0" w:firstRow="1" w:lastRow="0" w:firstColumn="1" w:lastColumn="0" w:noHBand="0" w:noVBand="1"/>
      </w:tblPr>
      <w:tblGrid>
        <w:gridCol w:w="4106"/>
        <w:gridCol w:w="5192"/>
        <w:gridCol w:w="4650"/>
      </w:tblGrid>
      <w:tr w:rsidR="003D2E5E" w14:paraId="596D8A30" w14:textId="77777777" w:rsidTr="003D2E5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06" w:type="dxa"/>
            <w:vAlign w:val="top"/>
          </w:tcPr>
          <w:p w14:paraId="61B2BF70" w14:textId="77777777" w:rsidR="003D2E5E" w:rsidRPr="00F73889" w:rsidRDefault="003D2E5E" w:rsidP="003D2E5E">
            <w:pPr>
              <w:rPr>
                <w:rFonts w:cs="Arial"/>
              </w:rPr>
            </w:pPr>
            <w:r w:rsidRPr="0096151D">
              <w:t>System Control Technical Code</w:t>
            </w:r>
          </w:p>
        </w:tc>
        <w:tc>
          <w:tcPr>
            <w:tcW w:w="5192" w:type="dxa"/>
            <w:vAlign w:val="top"/>
          </w:tcPr>
          <w:p w14:paraId="21670E38" w14:textId="77777777" w:rsidR="003D2E5E" w:rsidRPr="00F73889" w:rsidRDefault="003D2E5E" w:rsidP="003D2E5E">
            <w:pPr>
              <w:cnfStyle w:val="100000000000" w:firstRow="1" w:lastRow="0" w:firstColumn="0" w:lastColumn="0" w:oddVBand="0" w:evenVBand="0" w:oddHBand="0" w:evenHBand="0" w:firstRowFirstColumn="0" w:firstRowLastColumn="0" w:lastRowFirstColumn="0" w:lastRowLastColumn="0"/>
              <w:rPr>
                <w:rFonts w:cs="Arial"/>
              </w:rPr>
            </w:pPr>
            <w:r w:rsidRPr="0096151D">
              <w:t xml:space="preserve">Network Technical Code and Planning Criteria </w:t>
            </w:r>
          </w:p>
        </w:tc>
        <w:tc>
          <w:tcPr>
            <w:tcW w:w="4650" w:type="dxa"/>
            <w:vAlign w:val="top"/>
          </w:tcPr>
          <w:p w14:paraId="09994EB7" w14:textId="77777777" w:rsidR="003D2E5E" w:rsidRDefault="003D2E5E" w:rsidP="003D2E5E">
            <w:pPr>
              <w:cnfStyle w:val="100000000000" w:firstRow="1" w:lastRow="0" w:firstColumn="0" w:lastColumn="0" w:oddVBand="0" w:evenVBand="0" w:oddHBand="0" w:evenHBand="0" w:firstRowFirstColumn="0" w:firstRowLastColumn="0" w:lastRowFirstColumn="0" w:lastRowLastColumn="0"/>
              <w:rPr>
                <w:rFonts w:cs="Arial"/>
              </w:rPr>
            </w:pPr>
            <w:r w:rsidRPr="0096151D">
              <w:t>System Secure Guidelines</w:t>
            </w:r>
          </w:p>
        </w:tc>
      </w:tr>
      <w:tr w:rsidR="003F61A2" w14:paraId="5BEA547F" w14:textId="77777777" w:rsidTr="003D2E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shd w:val="clear" w:color="auto" w:fill="BFBFBF" w:themeFill="background1" w:themeFillShade="BF"/>
            <w:vAlign w:val="top"/>
          </w:tcPr>
          <w:p w14:paraId="5A5B26C2" w14:textId="77777777" w:rsidR="003F61A2" w:rsidRPr="003D2E5E" w:rsidRDefault="003D2E5E" w:rsidP="00736045">
            <w:pPr>
              <w:rPr>
                <w:rFonts w:cs="Arial"/>
                <w:b/>
              </w:rPr>
            </w:pPr>
            <w:r w:rsidRPr="003D2E5E">
              <w:rPr>
                <w:rFonts w:cs="Arial"/>
                <w:b/>
              </w:rPr>
              <w:t>Frequency management</w:t>
            </w:r>
          </w:p>
        </w:tc>
        <w:tc>
          <w:tcPr>
            <w:tcW w:w="5192" w:type="dxa"/>
            <w:shd w:val="clear" w:color="auto" w:fill="BFBFBF" w:themeFill="background1" w:themeFillShade="BF"/>
            <w:vAlign w:val="top"/>
          </w:tcPr>
          <w:p w14:paraId="75EAB9B7" w14:textId="77777777" w:rsidR="003F61A2" w:rsidRPr="00B22752" w:rsidRDefault="003F61A2" w:rsidP="00736045">
            <w:pPr>
              <w:spacing w:after="60"/>
              <w:cnfStyle w:val="000000100000" w:firstRow="0" w:lastRow="0" w:firstColumn="0" w:lastColumn="0" w:oddVBand="0" w:evenVBand="0" w:oddHBand="1" w:evenHBand="0" w:firstRowFirstColumn="0" w:firstRowLastColumn="0" w:lastRowFirstColumn="0" w:lastRowLastColumn="0"/>
              <w:rPr>
                <w:rFonts w:cs="Arial"/>
              </w:rPr>
            </w:pPr>
          </w:p>
        </w:tc>
        <w:tc>
          <w:tcPr>
            <w:tcW w:w="4650" w:type="dxa"/>
            <w:shd w:val="clear" w:color="auto" w:fill="BFBFBF" w:themeFill="background1" w:themeFillShade="BF"/>
          </w:tcPr>
          <w:p w14:paraId="48E38822" w14:textId="77777777" w:rsidR="003F61A2" w:rsidRPr="00177ED8" w:rsidRDefault="003F61A2" w:rsidP="00736045">
            <w:pPr>
              <w:spacing w:after="60"/>
              <w:cnfStyle w:val="000000100000" w:firstRow="0" w:lastRow="0" w:firstColumn="0" w:lastColumn="0" w:oddVBand="0" w:evenVBand="0" w:oddHBand="1" w:evenHBand="0" w:firstRowFirstColumn="0" w:firstRowLastColumn="0" w:lastRowFirstColumn="0" w:lastRowLastColumn="0"/>
            </w:pPr>
          </w:p>
        </w:tc>
      </w:tr>
      <w:tr w:rsidR="003D2E5E" w14:paraId="39A10FA2" w14:textId="77777777" w:rsidTr="003D2E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vAlign w:val="top"/>
          </w:tcPr>
          <w:p w14:paraId="47B8654D" w14:textId="77777777" w:rsidR="003D2E5E" w:rsidRPr="00D24175" w:rsidRDefault="003D2E5E" w:rsidP="003D2E5E">
            <w:r w:rsidRPr="008C16BF">
              <w:t>Frequency Control</w:t>
            </w:r>
          </w:p>
        </w:tc>
        <w:tc>
          <w:tcPr>
            <w:tcW w:w="5192" w:type="dxa"/>
            <w:shd w:val="clear" w:color="auto" w:fill="auto"/>
            <w:vAlign w:val="top"/>
          </w:tcPr>
          <w:p w14:paraId="08131AA9" w14:textId="77777777" w:rsidR="003D2E5E" w:rsidRPr="003D2E5E" w:rsidRDefault="003D2E5E" w:rsidP="003D2E5E">
            <w:pPr>
              <w:cnfStyle w:val="000000010000" w:firstRow="0" w:lastRow="0" w:firstColumn="0" w:lastColumn="0" w:oddVBand="0" w:evenVBand="0" w:oddHBand="0" w:evenHBand="1" w:firstRowFirstColumn="0" w:firstRowLastColumn="0" w:lastRowFirstColumn="0" w:lastRowLastColumn="0"/>
            </w:pPr>
            <w:r w:rsidRPr="003D2E5E">
              <w:t>Frequency Control Ancillary Service</w:t>
            </w:r>
          </w:p>
          <w:p w14:paraId="5FF27725" w14:textId="1461E8E2" w:rsidR="003D2E5E" w:rsidRPr="008218E4" w:rsidRDefault="003D2E5E" w:rsidP="008218E4">
            <w:pPr>
              <w:pStyle w:val="ListParagraph"/>
              <w:numPr>
                <w:ilvl w:val="0"/>
                <w:numId w:val="12"/>
              </w:numPr>
              <w:spacing w:before="200"/>
              <w:ind w:left="426"/>
              <w:cnfStyle w:val="000000010000" w:firstRow="0" w:lastRow="0" w:firstColumn="0" w:lastColumn="0" w:oddVBand="0" w:evenVBand="0" w:oddHBand="0" w:evenHBand="1" w:firstRowFirstColumn="0" w:firstRowLastColumn="0" w:lastRowFirstColumn="0" w:lastRowLastColumn="0"/>
              <w:rPr>
                <w:rFonts w:cs="Arial"/>
              </w:rPr>
            </w:pPr>
            <w:r w:rsidRPr="008218E4">
              <w:rPr>
                <w:rFonts w:cs="Arial"/>
              </w:rPr>
              <w:t>Regulating Frequency Control Ancillary Service (</w:t>
            </w:r>
            <w:r w:rsidR="006A2765" w:rsidRPr="008218E4">
              <w:rPr>
                <w:rFonts w:cs="Arial"/>
              </w:rPr>
              <w:t>R</w:t>
            </w:r>
            <w:r w:rsidRPr="008218E4">
              <w:rPr>
                <w:rFonts w:cs="Arial"/>
              </w:rPr>
              <w:t>-FCAS)</w:t>
            </w:r>
          </w:p>
          <w:p w14:paraId="73D1B7A8" w14:textId="77777777" w:rsidR="003D2E5E" w:rsidRPr="008218E4" w:rsidRDefault="003D2E5E" w:rsidP="008218E4">
            <w:pPr>
              <w:pStyle w:val="ListParagraph"/>
              <w:numPr>
                <w:ilvl w:val="0"/>
                <w:numId w:val="12"/>
              </w:numPr>
              <w:spacing w:before="200"/>
              <w:ind w:left="426"/>
              <w:cnfStyle w:val="000000010000" w:firstRow="0" w:lastRow="0" w:firstColumn="0" w:lastColumn="0" w:oddVBand="0" w:evenVBand="0" w:oddHBand="0" w:evenHBand="1" w:firstRowFirstColumn="0" w:firstRowLastColumn="0" w:lastRowFirstColumn="0" w:lastRowLastColumn="0"/>
              <w:rPr>
                <w:rFonts w:cs="Arial"/>
              </w:rPr>
            </w:pPr>
            <w:r w:rsidRPr="008218E4">
              <w:rPr>
                <w:rFonts w:cs="Arial"/>
              </w:rPr>
              <w:t>Contingency Frequency Control Ancillary Service (C-FCAS)</w:t>
            </w:r>
          </w:p>
          <w:p w14:paraId="6C499B71" w14:textId="77777777" w:rsidR="00D24175" w:rsidRPr="00D24175" w:rsidRDefault="00D24175" w:rsidP="008218E4">
            <w:pPr>
              <w:pStyle w:val="ListParagraph"/>
              <w:spacing w:before="200"/>
              <w:ind w:left="426"/>
              <w:cnfStyle w:val="000000010000" w:firstRow="0" w:lastRow="0" w:firstColumn="0" w:lastColumn="0" w:oddVBand="0" w:evenVBand="0" w:oddHBand="0" w:evenHBand="1" w:firstRowFirstColumn="0" w:firstRowLastColumn="0" w:lastRowFirstColumn="0" w:lastRowLastColumn="0"/>
              <w:rPr>
                <w:rFonts w:eastAsia="Calibri"/>
                <w:iCs w:val="0"/>
              </w:rPr>
            </w:pPr>
          </w:p>
          <w:p w14:paraId="0452229F" w14:textId="77777777" w:rsidR="003D2E5E" w:rsidRPr="00D24175" w:rsidRDefault="003D2E5E" w:rsidP="008218E4">
            <w:pPr>
              <w:pStyle w:val="ListParagraph"/>
              <w:spacing w:before="200"/>
              <w:ind w:left="426"/>
              <w:cnfStyle w:val="000000010000" w:firstRow="0" w:lastRow="0" w:firstColumn="0" w:lastColumn="0" w:oddVBand="0" w:evenVBand="0" w:oddHBand="0" w:evenHBand="1" w:firstRowFirstColumn="0" w:firstRowLastColumn="0" w:lastRowFirstColumn="0" w:lastRowLastColumn="0"/>
              <w:rPr>
                <w:rFonts w:eastAsia="Calibri"/>
                <w:iCs w:val="0"/>
              </w:rPr>
            </w:pPr>
          </w:p>
          <w:p w14:paraId="5E06E1FC" w14:textId="461F6FE9" w:rsidR="003D2E5E" w:rsidRPr="00D24175" w:rsidRDefault="003D2E5E" w:rsidP="008218E4">
            <w:pPr>
              <w:pStyle w:val="ListParagraph"/>
              <w:numPr>
                <w:ilvl w:val="0"/>
                <w:numId w:val="12"/>
              </w:numPr>
              <w:spacing w:before="200"/>
              <w:ind w:left="426"/>
              <w:cnfStyle w:val="000000010000" w:firstRow="0" w:lastRow="0" w:firstColumn="0" w:lastColumn="0" w:oddVBand="0" w:evenVBand="0" w:oddHBand="0" w:evenHBand="1" w:firstRowFirstColumn="0" w:firstRowLastColumn="0" w:lastRowFirstColumn="0" w:lastRowLastColumn="0"/>
              <w:rPr>
                <w:rFonts w:eastAsia="Calibri"/>
                <w:iCs w:val="0"/>
              </w:rPr>
            </w:pPr>
            <w:r w:rsidRPr="00D24175">
              <w:rPr>
                <w:rFonts w:eastAsia="Calibri"/>
                <w:iCs w:val="0"/>
              </w:rPr>
              <w:t>Inertia Frequency Control Ancillary Service (I</w:t>
            </w:r>
            <w:r w:rsidR="00D24175">
              <w:rPr>
                <w:rFonts w:eastAsia="Calibri"/>
                <w:iCs w:val="0"/>
              </w:rPr>
              <w:noBreakHyphen/>
            </w:r>
            <w:r w:rsidRPr="00D24175">
              <w:rPr>
                <w:rFonts w:eastAsia="Calibri"/>
                <w:iCs w:val="0"/>
              </w:rPr>
              <w:t>FCAS)</w:t>
            </w:r>
          </w:p>
          <w:p w14:paraId="4918718A" w14:textId="77777777" w:rsidR="003D2E5E" w:rsidRDefault="003D2E5E" w:rsidP="003D2E5E">
            <w:pPr>
              <w:cnfStyle w:val="000000010000" w:firstRow="0" w:lastRow="0" w:firstColumn="0" w:lastColumn="0" w:oddVBand="0" w:evenVBand="0" w:oddHBand="0" w:evenHBand="1" w:firstRowFirstColumn="0" w:firstRowLastColumn="0" w:lastRowFirstColumn="0" w:lastRowLastColumn="0"/>
            </w:pPr>
          </w:p>
          <w:p w14:paraId="49C891AD" w14:textId="77777777" w:rsidR="003D2E5E" w:rsidRPr="003D2E5E" w:rsidRDefault="003D2E5E" w:rsidP="003D2E5E">
            <w:pPr>
              <w:cnfStyle w:val="000000010000" w:firstRow="0" w:lastRow="0" w:firstColumn="0" w:lastColumn="0" w:oddVBand="0" w:evenVBand="0" w:oddHBand="0" w:evenHBand="1" w:firstRowFirstColumn="0" w:firstRowLastColumn="0" w:lastRowFirstColumn="0" w:lastRowLastColumn="0"/>
            </w:pPr>
            <w:r w:rsidRPr="003D2E5E">
              <w:t>Spinning Reserve</w:t>
            </w:r>
          </w:p>
        </w:tc>
        <w:tc>
          <w:tcPr>
            <w:tcW w:w="4650" w:type="dxa"/>
            <w:shd w:val="clear" w:color="auto" w:fill="auto"/>
            <w:vAlign w:val="top"/>
          </w:tcPr>
          <w:p w14:paraId="2E896BD2" w14:textId="3F152040" w:rsidR="003D2E5E" w:rsidRPr="003D2E5E" w:rsidRDefault="003D2E5E" w:rsidP="003D2E5E">
            <w:pPr>
              <w:cnfStyle w:val="000000010000" w:firstRow="0" w:lastRow="0" w:firstColumn="0" w:lastColumn="0" w:oddVBand="0" w:evenVBand="0" w:oddHBand="0" w:evenHBand="1" w:firstRowFirstColumn="0" w:firstRowLastColumn="0" w:lastRowFirstColumn="0" w:lastRowLastColumn="0"/>
            </w:pPr>
            <w:r w:rsidRPr="003D2E5E">
              <w:t>Frequency Control Ancillary Service</w:t>
            </w:r>
          </w:p>
          <w:p w14:paraId="68FA2630" w14:textId="77777777" w:rsidR="003D2E5E" w:rsidRPr="003D2E5E" w:rsidRDefault="003D2E5E" w:rsidP="003D2E5E">
            <w:pPr>
              <w:pStyle w:val="ListParagraph"/>
              <w:numPr>
                <w:ilvl w:val="0"/>
                <w:numId w:val="12"/>
              </w:numPr>
              <w:spacing w:before="200"/>
              <w:ind w:left="426"/>
              <w:cnfStyle w:val="000000010000" w:firstRow="0" w:lastRow="0" w:firstColumn="0" w:lastColumn="0" w:oddVBand="0" w:evenVBand="0" w:oddHBand="0" w:evenHBand="1" w:firstRowFirstColumn="0" w:firstRowLastColumn="0" w:lastRowFirstColumn="0" w:lastRowLastColumn="0"/>
              <w:rPr>
                <w:rFonts w:cs="Arial"/>
              </w:rPr>
            </w:pPr>
            <w:r w:rsidRPr="003D2E5E">
              <w:rPr>
                <w:rFonts w:cs="Arial"/>
              </w:rPr>
              <w:t>Regulating Frequency Control Ancillary Service (R</w:t>
            </w:r>
            <w:r w:rsidRPr="003D2E5E">
              <w:rPr>
                <w:rFonts w:cs="Arial"/>
              </w:rPr>
              <w:noBreakHyphen/>
              <w:t>FCAS)</w:t>
            </w:r>
          </w:p>
          <w:p w14:paraId="5F97E38A" w14:textId="77777777" w:rsidR="003D2E5E" w:rsidRPr="003D2E5E" w:rsidRDefault="003D2E5E" w:rsidP="003D2E5E">
            <w:pPr>
              <w:pStyle w:val="ListParagraph"/>
              <w:numPr>
                <w:ilvl w:val="0"/>
                <w:numId w:val="12"/>
              </w:numPr>
              <w:spacing w:before="200"/>
              <w:ind w:left="426"/>
              <w:cnfStyle w:val="000000010000" w:firstRow="0" w:lastRow="0" w:firstColumn="0" w:lastColumn="0" w:oddVBand="0" w:evenVBand="0" w:oddHBand="0" w:evenHBand="1" w:firstRowFirstColumn="0" w:firstRowLastColumn="0" w:lastRowFirstColumn="0" w:lastRowLastColumn="0"/>
              <w:rPr>
                <w:rFonts w:cs="Arial"/>
              </w:rPr>
            </w:pPr>
            <w:r w:rsidRPr="003D2E5E">
              <w:rPr>
                <w:rFonts w:cs="Arial"/>
              </w:rPr>
              <w:t>Contingency Frequency Control Ancillary Service (C-FCAS)</w:t>
            </w:r>
          </w:p>
          <w:p w14:paraId="610118BF" w14:textId="77777777" w:rsidR="003D2E5E" w:rsidRPr="003D2E5E" w:rsidRDefault="003D2E5E" w:rsidP="003D2E5E">
            <w:pPr>
              <w:pStyle w:val="ListParagraph"/>
              <w:numPr>
                <w:ilvl w:val="1"/>
                <w:numId w:val="12"/>
              </w:numPr>
              <w:spacing w:before="200"/>
              <w:cnfStyle w:val="000000010000" w:firstRow="0" w:lastRow="0" w:firstColumn="0" w:lastColumn="0" w:oddVBand="0" w:evenVBand="0" w:oddHBand="0" w:evenHBand="1" w:firstRowFirstColumn="0" w:firstRowLastColumn="0" w:lastRowFirstColumn="0" w:lastRowLastColumn="0"/>
              <w:rPr>
                <w:rFonts w:cs="Arial"/>
              </w:rPr>
            </w:pPr>
            <w:r w:rsidRPr="003D2E5E">
              <w:rPr>
                <w:rFonts w:cs="Arial"/>
              </w:rPr>
              <w:t>Raise – fast, slow, delayed</w:t>
            </w:r>
          </w:p>
          <w:p w14:paraId="021F3BA5" w14:textId="77777777" w:rsidR="003D2E5E" w:rsidRPr="003D2E5E" w:rsidRDefault="003D2E5E" w:rsidP="003D2E5E">
            <w:pPr>
              <w:pStyle w:val="ListParagraph"/>
              <w:numPr>
                <w:ilvl w:val="1"/>
                <w:numId w:val="12"/>
              </w:numPr>
              <w:spacing w:before="200"/>
              <w:cnfStyle w:val="000000010000" w:firstRow="0" w:lastRow="0" w:firstColumn="0" w:lastColumn="0" w:oddVBand="0" w:evenVBand="0" w:oddHBand="0" w:evenHBand="1" w:firstRowFirstColumn="0" w:firstRowLastColumn="0" w:lastRowFirstColumn="0" w:lastRowLastColumn="0"/>
              <w:rPr>
                <w:rFonts w:cs="Arial"/>
              </w:rPr>
            </w:pPr>
            <w:r w:rsidRPr="003D2E5E">
              <w:rPr>
                <w:rFonts w:cs="Arial"/>
              </w:rPr>
              <w:t>Lower – fast, slow, delayed</w:t>
            </w:r>
          </w:p>
          <w:p w14:paraId="033FDDC5" w14:textId="77777777" w:rsidR="003D2E5E" w:rsidRPr="003D2E5E" w:rsidRDefault="003D2E5E" w:rsidP="003D2E5E">
            <w:pPr>
              <w:pStyle w:val="ListParagraph"/>
              <w:numPr>
                <w:ilvl w:val="0"/>
                <w:numId w:val="12"/>
              </w:numPr>
              <w:spacing w:before="200"/>
              <w:ind w:left="426"/>
              <w:cnfStyle w:val="000000010000" w:firstRow="0" w:lastRow="0" w:firstColumn="0" w:lastColumn="0" w:oddVBand="0" w:evenVBand="0" w:oddHBand="0" w:evenHBand="1" w:firstRowFirstColumn="0" w:firstRowLastColumn="0" w:lastRowFirstColumn="0" w:lastRowLastColumn="0"/>
              <w:rPr>
                <w:rFonts w:cs="Arial"/>
              </w:rPr>
            </w:pPr>
            <w:r w:rsidRPr="003D2E5E">
              <w:rPr>
                <w:rFonts w:cs="Arial"/>
              </w:rPr>
              <w:t>Inertia Frequency Control Ancillary Service (I-FCAS)</w:t>
            </w:r>
          </w:p>
          <w:p w14:paraId="442B8438" w14:textId="77777777" w:rsidR="003D2E5E" w:rsidRPr="003D2E5E" w:rsidRDefault="003D2E5E" w:rsidP="003D2E5E">
            <w:pPr>
              <w:cnfStyle w:val="000000010000" w:firstRow="0" w:lastRow="0" w:firstColumn="0" w:lastColumn="0" w:oddVBand="0" w:evenVBand="0" w:oddHBand="0" w:evenHBand="1" w:firstRowFirstColumn="0" w:firstRowLastColumn="0" w:lastRowFirstColumn="0" w:lastRowLastColumn="0"/>
            </w:pPr>
          </w:p>
          <w:p w14:paraId="547C24EA" w14:textId="77777777" w:rsidR="003D2E5E" w:rsidRPr="00177ED8" w:rsidRDefault="003D2E5E" w:rsidP="003D2E5E">
            <w:pPr>
              <w:spacing w:after="60"/>
              <w:cnfStyle w:val="000000010000" w:firstRow="0" w:lastRow="0" w:firstColumn="0" w:lastColumn="0" w:oddVBand="0" w:evenVBand="0" w:oddHBand="0" w:evenHBand="1" w:firstRowFirstColumn="0" w:firstRowLastColumn="0" w:lastRowFirstColumn="0" w:lastRowLastColumn="0"/>
            </w:pPr>
            <w:r w:rsidRPr="003D2E5E">
              <w:t>Spinning Reserve</w:t>
            </w:r>
          </w:p>
        </w:tc>
      </w:tr>
      <w:tr w:rsidR="003F61A2" w14:paraId="5FACFF62" w14:textId="77777777" w:rsidTr="003D2E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shd w:val="clear" w:color="auto" w:fill="D9D9D9" w:themeFill="background1" w:themeFillShade="D9"/>
            <w:vAlign w:val="top"/>
          </w:tcPr>
          <w:p w14:paraId="72E17F88" w14:textId="77777777" w:rsidR="003F61A2" w:rsidRPr="003D2E5E" w:rsidRDefault="003D2E5E" w:rsidP="00736045">
            <w:pPr>
              <w:rPr>
                <w:rFonts w:cs="Arial"/>
                <w:b/>
              </w:rPr>
            </w:pPr>
            <w:r w:rsidRPr="003D2E5E">
              <w:rPr>
                <w:rFonts w:cs="Arial"/>
                <w:b/>
              </w:rPr>
              <w:t>Voltage management</w:t>
            </w:r>
          </w:p>
        </w:tc>
        <w:tc>
          <w:tcPr>
            <w:tcW w:w="5192" w:type="dxa"/>
            <w:shd w:val="clear" w:color="auto" w:fill="D9D9D9" w:themeFill="background1" w:themeFillShade="D9"/>
            <w:vAlign w:val="top"/>
          </w:tcPr>
          <w:p w14:paraId="4FE681C3" w14:textId="77777777" w:rsidR="003F61A2" w:rsidRPr="00F73889" w:rsidRDefault="003F61A2" w:rsidP="00736045">
            <w:pPr>
              <w:spacing w:before="120" w:after="60"/>
              <w:cnfStyle w:val="000000100000" w:firstRow="0" w:lastRow="0" w:firstColumn="0" w:lastColumn="0" w:oddVBand="0" w:evenVBand="0" w:oddHBand="1" w:evenHBand="0" w:firstRowFirstColumn="0" w:firstRowLastColumn="0" w:lastRowFirstColumn="0" w:lastRowLastColumn="0"/>
              <w:rPr>
                <w:rFonts w:cs="Arial"/>
              </w:rPr>
            </w:pPr>
          </w:p>
        </w:tc>
        <w:tc>
          <w:tcPr>
            <w:tcW w:w="4650" w:type="dxa"/>
            <w:shd w:val="clear" w:color="auto" w:fill="D9D9D9" w:themeFill="background1" w:themeFillShade="D9"/>
          </w:tcPr>
          <w:p w14:paraId="590CEB55" w14:textId="77777777" w:rsidR="003F61A2" w:rsidRPr="00177ED8" w:rsidRDefault="003F61A2" w:rsidP="00736045">
            <w:pPr>
              <w:spacing w:before="120" w:after="60"/>
              <w:cnfStyle w:val="000000100000" w:firstRow="0" w:lastRow="0" w:firstColumn="0" w:lastColumn="0" w:oddVBand="0" w:evenVBand="0" w:oddHBand="1" w:evenHBand="0" w:firstRowFirstColumn="0" w:firstRowLastColumn="0" w:lastRowFirstColumn="0" w:lastRowLastColumn="0"/>
            </w:pPr>
          </w:p>
        </w:tc>
      </w:tr>
      <w:tr w:rsidR="003F61A2" w14:paraId="7332C2F3" w14:textId="77777777" w:rsidTr="003D2E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vAlign w:val="top"/>
          </w:tcPr>
          <w:p w14:paraId="0ACE34D6" w14:textId="77777777" w:rsidR="003D2E5E" w:rsidRPr="003D2E5E" w:rsidRDefault="003D2E5E" w:rsidP="003D2E5E">
            <w:r w:rsidRPr="003D2E5E">
              <w:t>Voltage Control</w:t>
            </w:r>
          </w:p>
          <w:p w14:paraId="23CDAE3D" w14:textId="77777777" w:rsidR="003D2E5E" w:rsidRPr="003D2E5E" w:rsidRDefault="003D2E5E" w:rsidP="003D2E5E"/>
          <w:p w14:paraId="24A2325A" w14:textId="77777777" w:rsidR="003F61A2" w:rsidRPr="003D2E5E" w:rsidRDefault="003D2E5E" w:rsidP="003D2E5E">
            <w:r w:rsidRPr="003D2E5E">
              <w:t>Reactive Power Control</w:t>
            </w:r>
          </w:p>
        </w:tc>
        <w:tc>
          <w:tcPr>
            <w:tcW w:w="5192" w:type="dxa"/>
            <w:shd w:val="clear" w:color="auto" w:fill="auto"/>
            <w:vAlign w:val="top"/>
          </w:tcPr>
          <w:p w14:paraId="7D727883" w14:textId="77777777" w:rsidR="003D2E5E" w:rsidRPr="003D2E5E" w:rsidRDefault="003D2E5E" w:rsidP="003D2E5E">
            <w:pPr>
              <w:cnfStyle w:val="000000010000" w:firstRow="0" w:lastRow="0" w:firstColumn="0" w:lastColumn="0" w:oddVBand="0" w:evenVBand="0" w:oddHBand="0" w:evenHBand="1" w:firstRowFirstColumn="0" w:firstRowLastColumn="0" w:lastRowFirstColumn="0" w:lastRowLastColumn="0"/>
            </w:pPr>
            <w:r w:rsidRPr="003D2E5E">
              <w:t>Voltage Control</w:t>
            </w:r>
          </w:p>
          <w:p w14:paraId="2B864748" w14:textId="77777777" w:rsidR="003D2E5E" w:rsidRPr="003D2E5E" w:rsidRDefault="003D2E5E" w:rsidP="003D2E5E">
            <w:pPr>
              <w:cnfStyle w:val="000000010000" w:firstRow="0" w:lastRow="0" w:firstColumn="0" w:lastColumn="0" w:oddVBand="0" w:evenVBand="0" w:oddHBand="0" w:evenHBand="1" w:firstRowFirstColumn="0" w:firstRowLastColumn="0" w:lastRowFirstColumn="0" w:lastRowLastColumn="0"/>
            </w:pPr>
          </w:p>
          <w:p w14:paraId="59695B37" w14:textId="77777777" w:rsidR="003F61A2" w:rsidRPr="003D2E5E" w:rsidRDefault="003D2E5E" w:rsidP="003D2E5E">
            <w:pPr>
              <w:spacing w:before="60" w:after="60"/>
              <w:cnfStyle w:val="000000010000" w:firstRow="0" w:lastRow="0" w:firstColumn="0" w:lastColumn="0" w:oddVBand="0" w:evenVBand="0" w:oddHBand="0" w:evenHBand="1" w:firstRowFirstColumn="0" w:firstRowLastColumn="0" w:lastRowFirstColumn="0" w:lastRowLastColumn="0"/>
            </w:pPr>
            <w:r w:rsidRPr="003D2E5E">
              <w:t>Reactive Power Control</w:t>
            </w:r>
          </w:p>
        </w:tc>
        <w:tc>
          <w:tcPr>
            <w:tcW w:w="4650" w:type="dxa"/>
            <w:shd w:val="clear" w:color="auto" w:fill="auto"/>
          </w:tcPr>
          <w:p w14:paraId="39DD2074" w14:textId="77777777" w:rsidR="003F61A2" w:rsidRPr="00177ED8" w:rsidRDefault="003F61A2" w:rsidP="00736045">
            <w:pPr>
              <w:spacing w:before="60" w:after="60"/>
              <w:cnfStyle w:val="000000010000" w:firstRow="0" w:lastRow="0" w:firstColumn="0" w:lastColumn="0" w:oddVBand="0" w:evenVBand="0" w:oddHBand="0" w:evenHBand="1" w:firstRowFirstColumn="0" w:firstRowLastColumn="0" w:lastRowFirstColumn="0" w:lastRowLastColumn="0"/>
            </w:pPr>
          </w:p>
        </w:tc>
      </w:tr>
      <w:tr w:rsidR="003F61A2" w14:paraId="0265C652" w14:textId="77777777" w:rsidTr="003D2E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shd w:val="clear" w:color="auto" w:fill="D9D9D9" w:themeFill="background1" w:themeFillShade="D9"/>
            <w:vAlign w:val="top"/>
          </w:tcPr>
          <w:p w14:paraId="7D6DE90C" w14:textId="77777777" w:rsidR="003F61A2" w:rsidRDefault="003D2E5E" w:rsidP="00736045">
            <w:pPr>
              <w:rPr>
                <w:rFonts w:cs="Arial"/>
              </w:rPr>
            </w:pPr>
            <w:r w:rsidRPr="003D2E5E">
              <w:rPr>
                <w:rFonts w:cs="Arial"/>
                <w:b/>
              </w:rPr>
              <w:t>System Restart</w:t>
            </w:r>
          </w:p>
        </w:tc>
        <w:tc>
          <w:tcPr>
            <w:tcW w:w="5192" w:type="dxa"/>
            <w:shd w:val="clear" w:color="auto" w:fill="D9D9D9" w:themeFill="background1" w:themeFillShade="D9"/>
            <w:vAlign w:val="top"/>
          </w:tcPr>
          <w:p w14:paraId="7C926C77" w14:textId="77777777" w:rsidR="003F61A2" w:rsidRPr="00F73889" w:rsidRDefault="003F61A2" w:rsidP="00736045">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tc>
        <w:tc>
          <w:tcPr>
            <w:tcW w:w="4650" w:type="dxa"/>
            <w:shd w:val="clear" w:color="auto" w:fill="D9D9D9" w:themeFill="background1" w:themeFillShade="D9"/>
          </w:tcPr>
          <w:p w14:paraId="1857FBDB" w14:textId="77777777" w:rsidR="003F61A2" w:rsidRPr="00177ED8" w:rsidRDefault="003F61A2" w:rsidP="00736045">
            <w:pPr>
              <w:spacing w:before="60" w:after="60"/>
              <w:cnfStyle w:val="000000100000" w:firstRow="0" w:lastRow="0" w:firstColumn="0" w:lastColumn="0" w:oddVBand="0" w:evenVBand="0" w:oddHBand="1" w:evenHBand="0" w:firstRowFirstColumn="0" w:firstRowLastColumn="0" w:lastRowFirstColumn="0" w:lastRowLastColumn="0"/>
            </w:pPr>
          </w:p>
        </w:tc>
      </w:tr>
      <w:tr w:rsidR="003D2E5E" w14:paraId="332BA761" w14:textId="77777777" w:rsidTr="003D2E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shd w:val="clear" w:color="auto" w:fill="FFFFFF" w:themeFill="background1"/>
            <w:vAlign w:val="top"/>
          </w:tcPr>
          <w:p w14:paraId="1575EF64" w14:textId="77777777" w:rsidR="003D2E5E" w:rsidRPr="003D2E5E" w:rsidRDefault="003D2E5E" w:rsidP="003D2E5E">
            <w:r w:rsidRPr="003D2E5E">
              <w:t>Black start capability</w:t>
            </w:r>
          </w:p>
        </w:tc>
        <w:tc>
          <w:tcPr>
            <w:tcW w:w="5192" w:type="dxa"/>
            <w:shd w:val="clear" w:color="auto" w:fill="FFFFFF" w:themeFill="background1"/>
            <w:vAlign w:val="top"/>
          </w:tcPr>
          <w:p w14:paraId="686D7A43" w14:textId="77777777" w:rsidR="003D2E5E" w:rsidRPr="003D2E5E" w:rsidRDefault="003D2E5E" w:rsidP="003D2E5E">
            <w:pPr>
              <w:spacing w:before="60" w:after="60"/>
              <w:cnfStyle w:val="000000010000" w:firstRow="0" w:lastRow="0" w:firstColumn="0" w:lastColumn="0" w:oddVBand="0" w:evenVBand="0" w:oddHBand="0" w:evenHBand="1" w:firstRowFirstColumn="0" w:firstRowLastColumn="0" w:lastRowFirstColumn="0" w:lastRowLastColumn="0"/>
            </w:pPr>
            <w:r w:rsidRPr="003D2E5E">
              <w:t>Black start capability</w:t>
            </w:r>
          </w:p>
        </w:tc>
        <w:tc>
          <w:tcPr>
            <w:tcW w:w="4650" w:type="dxa"/>
            <w:shd w:val="clear" w:color="auto" w:fill="FFFFFF" w:themeFill="background1"/>
          </w:tcPr>
          <w:p w14:paraId="4AF85041" w14:textId="77777777" w:rsidR="003D2E5E" w:rsidRPr="00177ED8" w:rsidRDefault="003D2E5E" w:rsidP="003D2E5E">
            <w:pPr>
              <w:spacing w:before="60" w:after="60"/>
              <w:cnfStyle w:val="000000010000" w:firstRow="0" w:lastRow="0" w:firstColumn="0" w:lastColumn="0" w:oddVBand="0" w:evenVBand="0" w:oddHBand="0" w:evenHBand="1" w:firstRowFirstColumn="0" w:firstRowLastColumn="0" w:lastRowFirstColumn="0" w:lastRowLastColumn="0"/>
            </w:pPr>
          </w:p>
        </w:tc>
      </w:tr>
    </w:tbl>
    <w:p w14:paraId="2CC0FEF1" w14:textId="77777777" w:rsidR="00CE7680" w:rsidRPr="003F61A2" w:rsidRDefault="00CE7680" w:rsidP="00CB560D">
      <w:pPr>
        <w:spacing w:after="0"/>
        <w:rPr>
          <w:rFonts w:ascii="Arial" w:hAnsi="Arial" w:cs="Arial"/>
        </w:rPr>
      </w:pPr>
    </w:p>
    <w:p w14:paraId="03014111" w14:textId="77777777" w:rsidR="00CE7680" w:rsidRPr="003F61A2" w:rsidRDefault="00CE7680" w:rsidP="00CB560D">
      <w:pPr>
        <w:spacing w:after="0"/>
        <w:rPr>
          <w:rFonts w:ascii="Arial" w:hAnsi="Arial" w:cs="Arial"/>
        </w:rPr>
      </w:pPr>
    </w:p>
    <w:p w14:paraId="6229D0A9" w14:textId="77777777" w:rsidR="00CB560D" w:rsidRDefault="00CB560D" w:rsidP="00CB560D">
      <w:pPr>
        <w:rPr>
          <w:rFonts w:ascii="Arial" w:hAnsi="Arial" w:cs="Arial"/>
        </w:rPr>
        <w:sectPr w:rsidR="00CB560D" w:rsidSect="00CB560D">
          <w:footerReference w:type="default" r:id="rId19"/>
          <w:pgSz w:w="16838" w:h="11906" w:orient="landscape"/>
          <w:pgMar w:top="1440" w:right="1440" w:bottom="1440" w:left="1440" w:header="708" w:footer="708" w:gutter="0"/>
          <w:cols w:space="708"/>
          <w:docGrid w:linePitch="360"/>
        </w:sectPr>
      </w:pPr>
    </w:p>
    <w:p w14:paraId="4830FF7E" w14:textId="041FB669" w:rsidR="00CB560D" w:rsidRPr="00CB560D" w:rsidRDefault="00660DDB" w:rsidP="00CB560D">
      <w:pPr>
        <w:pStyle w:val="Heading2"/>
        <w:keepNext/>
        <w:rPr>
          <w:lang w:eastAsia="en-AU"/>
        </w:rPr>
      </w:pPr>
      <w:bookmarkStart w:id="8" w:name="_Toc41893972"/>
      <w:bookmarkStart w:id="9" w:name="_Toc41902213"/>
      <w:bookmarkStart w:id="10" w:name="_Toc42235084"/>
      <w:bookmarkStart w:id="11" w:name="_Toc42779155"/>
      <w:bookmarkEnd w:id="8"/>
      <w:bookmarkEnd w:id="9"/>
      <w:bookmarkEnd w:id="10"/>
      <w:r>
        <w:rPr>
          <w:lang w:eastAsia="en-AU"/>
        </w:rPr>
        <w:lastRenderedPageBreak/>
        <w:t>C</w:t>
      </w:r>
      <w:r w:rsidR="00CB560D" w:rsidRPr="00CB560D">
        <w:rPr>
          <w:lang w:eastAsia="en-AU"/>
        </w:rPr>
        <w:t>ase for change</w:t>
      </w:r>
      <w:bookmarkEnd w:id="11"/>
    </w:p>
    <w:p w14:paraId="1AC65AB8" w14:textId="77777777" w:rsidR="00CB560D" w:rsidRPr="002F64A1" w:rsidRDefault="00CB560D" w:rsidP="00CB560D">
      <w:pPr>
        <w:rPr>
          <w:rFonts w:asciiTheme="minorHAnsi" w:hAnsiTheme="minorHAnsi" w:cs="Arial"/>
        </w:rPr>
      </w:pPr>
      <w:r w:rsidRPr="002F64A1">
        <w:rPr>
          <w:rFonts w:asciiTheme="minorHAnsi" w:hAnsiTheme="minorHAnsi" w:cs="Arial"/>
        </w:rPr>
        <w:t>There is no single, consistent and comprehensive framework for the definition and specification of ESS in the Territory’s regulated electricity systems.</w:t>
      </w:r>
    </w:p>
    <w:p w14:paraId="4693056F" w14:textId="5414D18B" w:rsidR="00CB560D" w:rsidRPr="002F64A1" w:rsidRDefault="00CB560D" w:rsidP="00CB560D">
      <w:pPr>
        <w:rPr>
          <w:rFonts w:asciiTheme="minorHAnsi" w:hAnsiTheme="minorHAnsi" w:cs="Arial"/>
        </w:rPr>
      </w:pPr>
      <w:r w:rsidRPr="002F64A1">
        <w:rPr>
          <w:rFonts w:asciiTheme="minorHAnsi" w:hAnsiTheme="minorHAnsi" w:cs="Arial"/>
        </w:rPr>
        <w:t xml:space="preserve">The bundled Spinning Reserve service approach which has been adopted is simple and has historically been appropriate for a vertically integrated </w:t>
      </w:r>
      <w:r w:rsidR="00B1509D">
        <w:rPr>
          <w:rFonts w:asciiTheme="minorHAnsi" w:hAnsiTheme="minorHAnsi" w:cs="Arial"/>
        </w:rPr>
        <w:t>industry</w:t>
      </w:r>
      <w:r w:rsidR="00B1509D" w:rsidRPr="002F64A1">
        <w:rPr>
          <w:rFonts w:asciiTheme="minorHAnsi" w:hAnsiTheme="minorHAnsi" w:cs="Arial"/>
        </w:rPr>
        <w:t xml:space="preserve"> </w:t>
      </w:r>
      <w:r w:rsidRPr="002F64A1">
        <w:rPr>
          <w:rFonts w:asciiTheme="minorHAnsi" w:hAnsiTheme="minorHAnsi" w:cs="Arial"/>
        </w:rPr>
        <w:t>with relatively uniform generation and traditional customer expectations. However, as the distinct business components (</w:t>
      </w:r>
      <w:r w:rsidR="009B407B">
        <w:rPr>
          <w:rFonts w:asciiTheme="minorHAnsi" w:hAnsiTheme="minorHAnsi" w:cs="Arial"/>
        </w:rPr>
        <w:t>for example,</w:t>
      </w:r>
      <w:r w:rsidRPr="002F64A1">
        <w:rPr>
          <w:rFonts w:asciiTheme="minorHAnsi" w:hAnsiTheme="minorHAnsi" w:cs="Arial"/>
        </w:rPr>
        <w:t xml:space="preserve"> generation and retail) become increasingly contestable, including as a result of </w:t>
      </w:r>
      <w:r w:rsidR="00634F85">
        <w:rPr>
          <w:rFonts w:asciiTheme="minorHAnsi" w:hAnsiTheme="minorHAnsi" w:cs="Arial"/>
        </w:rPr>
        <w:t>emerging</w:t>
      </w:r>
      <w:r w:rsidRPr="002F64A1">
        <w:rPr>
          <w:rFonts w:asciiTheme="minorHAnsi" w:hAnsiTheme="minorHAnsi" w:cs="Arial"/>
        </w:rPr>
        <w:t xml:space="preserve"> technologies, the disaggregation of frequency management ESS into discrete and defined components has a number of advantages and provides the opportunity for:</w:t>
      </w:r>
    </w:p>
    <w:p w14:paraId="11443CD5" w14:textId="77777777" w:rsidR="00CB560D" w:rsidRPr="002F64A1" w:rsidRDefault="00CB560D" w:rsidP="002F64A1">
      <w:pPr>
        <w:pStyle w:val="ListParagraph"/>
        <w:numPr>
          <w:ilvl w:val="0"/>
          <w:numId w:val="12"/>
        </w:numPr>
        <w:spacing w:before="200"/>
        <w:ind w:left="426"/>
        <w:rPr>
          <w:rFonts w:cs="Arial"/>
        </w:rPr>
      </w:pPr>
      <w:r w:rsidRPr="002F64A1">
        <w:rPr>
          <w:rFonts w:cs="Arial"/>
        </w:rPr>
        <w:t>understanding the required technical capacity and availability of the discrete services to operate the power system in a safe, reliable and secure manner</w:t>
      </w:r>
    </w:p>
    <w:p w14:paraId="01DE7220" w14:textId="77777777" w:rsidR="00CB560D" w:rsidRPr="002F64A1" w:rsidRDefault="00CB560D" w:rsidP="002F64A1">
      <w:pPr>
        <w:pStyle w:val="ListParagraph"/>
        <w:numPr>
          <w:ilvl w:val="0"/>
          <w:numId w:val="12"/>
        </w:numPr>
        <w:spacing w:before="200"/>
        <w:ind w:left="426"/>
        <w:rPr>
          <w:rFonts w:cs="Arial"/>
        </w:rPr>
      </w:pPr>
      <w:r w:rsidRPr="002F64A1">
        <w:rPr>
          <w:rFonts w:cs="Arial"/>
        </w:rPr>
        <w:t>greater resolution of each service for more efficient dispatch (compared with a bundled approach)</w:t>
      </w:r>
    </w:p>
    <w:p w14:paraId="4DCCF8AF" w14:textId="77777777" w:rsidR="00CB560D" w:rsidRPr="002F64A1" w:rsidRDefault="00CB560D" w:rsidP="002F64A1">
      <w:pPr>
        <w:pStyle w:val="ListParagraph"/>
        <w:numPr>
          <w:ilvl w:val="0"/>
          <w:numId w:val="12"/>
        </w:numPr>
        <w:spacing w:before="200"/>
        <w:ind w:left="426"/>
        <w:rPr>
          <w:rFonts w:cs="Arial"/>
        </w:rPr>
      </w:pPr>
      <w:r w:rsidRPr="002F64A1">
        <w:rPr>
          <w:rFonts w:cs="Arial"/>
        </w:rPr>
        <w:t>transparency as to the volume of services required and associated costs, particularly as any impacts occur due to changing system conditions</w:t>
      </w:r>
    </w:p>
    <w:p w14:paraId="4B6D4138" w14:textId="3DB79770" w:rsidR="00CB560D" w:rsidRPr="002F64A1" w:rsidRDefault="00CB560D" w:rsidP="002F64A1">
      <w:pPr>
        <w:pStyle w:val="ListParagraph"/>
        <w:numPr>
          <w:ilvl w:val="0"/>
          <w:numId w:val="12"/>
        </w:numPr>
        <w:spacing w:before="200"/>
        <w:ind w:left="426"/>
        <w:rPr>
          <w:rFonts w:cs="Arial"/>
        </w:rPr>
      </w:pPr>
      <w:r w:rsidRPr="002F64A1">
        <w:rPr>
          <w:rFonts w:cs="Arial"/>
        </w:rPr>
        <w:t xml:space="preserve">co-optimising costs across multiple </w:t>
      </w:r>
      <w:r w:rsidR="00634F85">
        <w:rPr>
          <w:rFonts w:cs="Arial"/>
        </w:rPr>
        <w:t>ESS</w:t>
      </w:r>
      <w:r w:rsidRPr="002F64A1">
        <w:rPr>
          <w:rFonts w:cs="Arial"/>
        </w:rPr>
        <w:t xml:space="preserve"> streams and energy services</w:t>
      </w:r>
    </w:p>
    <w:p w14:paraId="396BE48D" w14:textId="77777777" w:rsidR="00CB560D" w:rsidRPr="002F64A1" w:rsidRDefault="00CB560D" w:rsidP="002F64A1">
      <w:pPr>
        <w:pStyle w:val="ListParagraph"/>
        <w:numPr>
          <w:ilvl w:val="0"/>
          <w:numId w:val="12"/>
        </w:numPr>
        <w:spacing w:before="200"/>
        <w:ind w:left="426"/>
        <w:rPr>
          <w:rFonts w:cs="Arial"/>
        </w:rPr>
      </w:pPr>
      <w:r w:rsidRPr="002F64A1">
        <w:rPr>
          <w:rFonts w:cs="Arial"/>
        </w:rPr>
        <w:t>technology agnostic description of system services to enable emerging technologies to provide services where economically efficient</w:t>
      </w:r>
    </w:p>
    <w:p w14:paraId="7B2BBB94" w14:textId="47398AA4" w:rsidR="00CB560D" w:rsidRPr="002F64A1" w:rsidRDefault="00CB560D" w:rsidP="002F64A1">
      <w:pPr>
        <w:pStyle w:val="ListParagraph"/>
        <w:numPr>
          <w:ilvl w:val="0"/>
          <w:numId w:val="12"/>
        </w:numPr>
        <w:spacing w:before="200"/>
        <w:ind w:left="426"/>
        <w:rPr>
          <w:rFonts w:cs="Arial"/>
        </w:rPr>
      </w:pPr>
      <w:r w:rsidRPr="002F64A1">
        <w:rPr>
          <w:rFonts w:cs="Arial"/>
        </w:rPr>
        <w:t>a principled approach to services requirement that responds to power system changes</w:t>
      </w:r>
    </w:p>
    <w:p w14:paraId="57C80C1C" w14:textId="77777777" w:rsidR="00CB560D" w:rsidRPr="002F64A1" w:rsidRDefault="00CB560D" w:rsidP="002F64A1">
      <w:pPr>
        <w:pStyle w:val="ListParagraph"/>
        <w:numPr>
          <w:ilvl w:val="0"/>
          <w:numId w:val="12"/>
        </w:numPr>
        <w:spacing w:before="200"/>
        <w:ind w:left="426"/>
        <w:rPr>
          <w:rFonts w:cs="Arial"/>
        </w:rPr>
      </w:pPr>
      <w:proofErr w:type="gramStart"/>
      <w:r w:rsidRPr="002F64A1">
        <w:rPr>
          <w:rFonts w:cs="Arial"/>
        </w:rPr>
        <w:t>third</w:t>
      </w:r>
      <w:proofErr w:type="gramEnd"/>
      <w:r w:rsidRPr="002F64A1">
        <w:rPr>
          <w:rFonts w:cs="Arial"/>
        </w:rPr>
        <w:t xml:space="preserve"> party provision of one or more components of power system services providing competitive tension.</w:t>
      </w:r>
    </w:p>
    <w:p w14:paraId="30856504" w14:textId="77777777" w:rsidR="00CB560D" w:rsidRPr="002F64A1" w:rsidRDefault="00CB560D" w:rsidP="00CB560D">
      <w:pPr>
        <w:rPr>
          <w:rFonts w:asciiTheme="minorHAnsi" w:hAnsiTheme="minorHAnsi" w:cs="Arial"/>
        </w:rPr>
      </w:pPr>
      <w:r w:rsidRPr="002F64A1">
        <w:rPr>
          <w:rFonts w:asciiTheme="minorHAnsi" w:hAnsiTheme="minorHAnsi" w:cs="Arial"/>
        </w:rPr>
        <w:t>These issues are particularly important as the generation mix in the Territory’s power systems changes towards higher levels of renewable energy sources that require different levels of system support, and that may also offer services via non-synchronous technology.</w:t>
      </w:r>
    </w:p>
    <w:p w14:paraId="088111F0" w14:textId="77777777" w:rsidR="00CB560D" w:rsidRPr="002F64A1" w:rsidRDefault="00CB560D" w:rsidP="00CB560D">
      <w:pPr>
        <w:rPr>
          <w:rFonts w:asciiTheme="minorHAnsi" w:hAnsiTheme="minorHAnsi" w:cs="Arial"/>
        </w:rPr>
      </w:pPr>
      <w:r w:rsidRPr="002F64A1">
        <w:rPr>
          <w:rFonts w:asciiTheme="minorHAnsi" w:hAnsiTheme="minorHAnsi" w:cs="Arial"/>
        </w:rPr>
        <w:t>The current lack of definition and specification of ESS and responsibility for their provision, particularly for voltage control and reactive power control, also increases the potential for ESS to be mandated on an uncompensated basis. Under the SCTC and NTC, both the Network Operator and System Controller have responsibility for ensuring voltage control, and can achieve this through a variety of ways, including through mandating provision by system participants. The mandated provision of ESS may exacerbate cross-subsidies in the electricity supply industry, and contribute to inefficient system operation and investment.</w:t>
      </w:r>
    </w:p>
    <w:p w14:paraId="5A99E29A" w14:textId="77777777" w:rsidR="00CB560D" w:rsidRPr="00CB560D" w:rsidRDefault="00CB560D" w:rsidP="00CB560D">
      <w:pPr>
        <w:pStyle w:val="Heading2"/>
        <w:keepNext/>
        <w:rPr>
          <w:lang w:eastAsia="en-AU"/>
        </w:rPr>
      </w:pPr>
      <w:bookmarkStart w:id="12" w:name="_Toc42779156"/>
      <w:r w:rsidRPr="00CB560D">
        <w:rPr>
          <w:lang w:eastAsia="en-AU"/>
        </w:rPr>
        <w:t>Issues</w:t>
      </w:r>
      <w:bookmarkEnd w:id="12"/>
    </w:p>
    <w:p w14:paraId="5C97138C" w14:textId="2FCDFAB9" w:rsidR="00CB560D" w:rsidRPr="002F64A1" w:rsidRDefault="00CB560D" w:rsidP="00CB560D">
      <w:pPr>
        <w:rPr>
          <w:rFonts w:asciiTheme="minorHAnsi" w:hAnsiTheme="minorHAnsi" w:cs="Arial"/>
        </w:rPr>
      </w:pPr>
      <w:r w:rsidRPr="002F64A1">
        <w:rPr>
          <w:rFonts w:asciiTheme="minorHAnsi" w:hAnsiTheme="minorHAnsi" w:cs="Arial"/>
        </w:rPr>
        <w:t xml:space="preserve">As noted above, an expert technical adviser will be appointed to provide independent advice to the </w:t>
      </w:r>
      <w:r w:rsidR="00DD050A">
        <w:rPr>
          <w:rFonts w:asciiTheme="minorHAnsi" w:hAnsiTheme="minorHAnsi" w:cs="Arial"/>
        </w:rPr>
        <w:t>Design Development Team</w:t>
      </w:r>
      <w:r w:rsidRPr="002F64A1">
        <w:rPr>
          <w:rFonts w:asciiTheme="minorHAnsi" w:hAnsiTheme="minorHAnsi" w:cs="Arial"/>
        </w:rPr>
        <w:t>. The expert advis</w:t>
      </w:r>
      <w:r w:rsidR="00FB0AA5">
        <w:rPr>
          <w:rFonts w:asciiTheme="minorHAnsi" w:hAnsiTheme="minorHAnsi" w:cs="Arial"/>
        </w:rPr>
        <w:t>e</w:t>
      </w:r>
      <w:r w:rsidRPr="002F64A1">
        <w:rPr>
          <w:rFonts w:asciiTheme="minorHAnsi" w:hAnsiTheme="minorHAnsi" w:cs="Arial"/>
        </w:rPr>
        <w:t>r’s analysis and recommendations will be informed by advice from</w:t>
      </w:r>
      <w:r w:rsidR="00FB0AA5">
        <w:rPr>
          <w:rFonts w:asciiTheme="minorHAnsi" w:hAnsiTheme="minorHAnsi" w:cs="Arial"/>
        </w:rPr>
        <w:t xml:space="preserve"> the</w:t>
      </w:r>
      <w:r w:rsidRPr="002F64A1">
        <w:rPr>
          <w:rFonts w:asciiTheme="minorHAnsi" w:hAnsiTheme="minorHAnsi" w:cs="Arial"/>
        </w:rPr>
        <w:t xml:space="preserve"> </w:t>
      </w:r>
      <w:r w:rsidR="00B1509D">
        <w:rPr>
          <w:rFonts w:asciiTheme="minorHAnsi" w:hAnsiTheme="minorHAnsi" w:cs="Arial"/>
        </w:rPr>
        <w:t xml:space="preserve">System Controller, </w:t>
      </w:r>
      <w:r w:rsidR="00FB0AA5">
        <w:rPr>
          <w:rFonts w:asciiTheme="minorHAnsi" w:hAnsiTheme="minorHAnsi" w:cs="Arial"/>
        </w:rPr>
        <w:t>Network Operator</w:t>
      </w:r>
      <w:r w:rsidRPr="002F64A1">
        <w:rPr>
          <w:rFonts w:asciiTheme="minorHAnsi" w:hAnsiTheme="minorHAnsi" w:cs="Arial"/>
        </w:rPr>
        <w:t xml:space="preserve"> and industry.</w:t>
      </w:r>
    </w:p>
    <w:p w14:paraId="2AD5C764" w14:textId="77777777" w:rsidR="00CB560D" w:rsidRPr="002F64A1" w:rsidRDefault="00CB560D" w:rsidP="00CB560D">
      <w:pPr>
        <w:rPr>
          <w:rFonts w:asciiTheme="minorHAnsi" w:hAnsiTheme="minorHAnsi" w:cs="Arial"/>
        </w:rPr>
      </w:pPr>
      <w:r w:rsidRPr="002F64A1">
        <w:rPr>
          <w:rFonts w:asciiTheme="minorHAnsi" w:hAnsiTheme="minorHAnsi" w:cs="Arial"/>
        </w:rPr>
        <w:t>A key consideration will be the appropriateness of a uniform approach to ESS</w:t>
      </w:r>
      <w:r w:rsidR="00FB0AA5">
        <w:rPr>
          <w:rFonts w:asciiTheme="minorHAnsi" w:hAnsiTheme="minorHAnsi" w:cs="Arial"/>
        </w:rPr>
        <w:t xml:space="preserve"> definition</w:t>
      </w:r>
      <w:r w:rsidRPr="002F64A1">
        <w:rPr>
          <w:rFonts w:asciiTheme="minorHAnsi" w:hAnsiTheme="minorHAnsi" w:cs="Arial"/>
        </w:rPr>
        <w:t xml:space="preserve"> across all three Northern Territory regulated electricity systems (Darwin-Katherine, Alice Springs and Tennant Creek).</w:t>
      </w:r>
    </w:p>
    <w:p w14:paraId="664EFF86" w14:textId="77777777" w:rsidR="00CB560D" w:rsidRPr="002F64A1" w:rsidRDefault="00CB560D" w:rsidP="00BE0579">
      <w:pPr>
        <w:pStyle w:val="Heading3"/>
        <w:keepNext/>
      </w:pPr>
      <w:r w:rsidRPr="002F64A1">
        <w:lastRenderedPageBreak/>
        <w:t>Level of specificity for defined ESS</w:t>
      </w:r>
    </w:p>
    <w:p w14:paraId="7FAD9A5B" w14:textId="0C18547E" w:rsidR="00CB560D" w:rsidRPr="002F64A1" w:rsidRDefault="00CB560D" w:rsidP="00CB560D">
      <w:pPr>
        <w:rPr>
          <w:rFonts w:asciiTheme="minorHAnsi" w:hAnsiTheme="minorHAnsi" w:cs="Arial"/>
        </w:rPr>
      </w:pPr>
      <w:r w:rsidRPr="002F64A1">
        <w:rPr>
          <w:rFonts w:asciiTheme="minorHAnsi" w:hAnsiTheme="minorHAnsi" w:cs="Arial"/>
        </w:rPr>
        <w:t xml:space="preserve">How </w:t>
      </w:r>
      <w:r w:rsidR="00B1509D">
        <w:rPr>
          <w:rFonts w:asciiTheme="minorHAnsi" w:hAnsiTheme="minorHAnsi" w:cs="Arial"/>
        </w:rPr>
        <w:t xml:space="preserve">individual </w:t>
      </w:r>
      <w:r w:rsidRPr="002F64A1">
        <w:rPr>
          <w:rFonts w:asciiTheme="minorHAnsi" w:hAnsiTheme="minorHAnsi" w:cs="Arial"/>
        </w:rPr>
        <w:t>ESS</w:t>
      </w:r>
      <w:r w:rsidR="00B1509D">
        <w:rPr>
          <w:rFonts w:asciiTheme="minorHAnsi" w:hAnsiTheme="minorHAnsi" w:cs="Arial"/>
        </w:rPr>
        <w:t xml:space="preserve"> are categorised and </w:t>
      </w:r>
      <w:r w:rsidRPr="002F64A1">
        <w:rPr>
          <w:rFonts w:asciiTheme="minorHAnsi" w:hAnsiTheme="minorHAnsi" w:cs="Arial"/>
        </w:rPr>
        <w:t>defined will need to be considered. Where a broad and high level approach is taken, the legislative and regulatory framework will need to require or empower the System Controller to develop and publish, from time to time, detailed specifications or descriptions of each ESS. This potentially establishes a framework which is more agile and adaptable to technology and power system changes.</w:t>
      </w:r>
    </w:p>
    <w:p w14:paraId="42079DBA" w14:textId="1C6E0B9D" w:rsidR="00CB560D" w:rsidRPr="002F64A1" w:rsidRDefault="00CB560D" w:rsidP="00CB560D">
      <w:pPr>
        <w:rPr>
          <w:rFonts w:asciiTheme="minorHAnsi" w:hAnsiTheme="minorHAnsi" w:cs="Arial"/>
        </w:rPr>
      </w:pPr>
      <w:r w:rsidRPr="002F64A1">
        <w:rPr>
          <w:rFonts w:asciiTheme="minorHAnsi" w:hAnsiTheme="minorHAnsi" w:cs="Arial"/>
        </w:rPr>
        <w:t xml:space="preserve">More detailed specification or description of each ESS arguably provides greater certainty and transparency for system participants, potentially improving investor confidence and attracting stronger investor interest. </w:t>
      </w:r>
    </w:p>
    <w:p w14:paraId="393ACE66" w14:textId="0F4E8CEC" w:rsidR="00CB560D" w:rsidRPr="00FB0AA5" w:rsidRDefault="00CB560D" w:rsidP="00CB560D">
      <w:pPr>
        <w:rPr>
          <w:rFonts w:asciiTheme="minorHAnsi" w:hAnsiTheme="minorHAnsi" w:cs="Arial"/>
        </w:rPr>
      </w:pPr>
      <w:r w:rsidRPr="00FB0AA5">
        <w:rPr>
          <w:rFonts w:asciiTheme="minorHAnsi" w:hAnsiTheme="minorHAnsi" w:cs="Arial"/>
        </w:rPr>
        <w:t xml:space="preserve">For example, the ESS framework in the </w:t>
      </w:r>
      <w:r w:rsidR="00FB0AA5">
        <w:rPr>
          <w:rFonts w:asciiTheme="minorHAnsi" w:hAnsiTheme="minorHAnsi" w:cs="Arial"/>
        </w:rPr>
        <w:t>National Electricity Market (</w:t>
      </w:r>
      <w:r w:rsidRPr="00FB0AA5">
        <w:rPr>
          <w:rFonts w:asciiTheme="minorHAnsi" w:hAnsiTheme="minorHAnsi" w:cs="Arial"/>
        </w:rPr>
        <w:t>NEM</w:t>
      </w:r>
      <w:r w:rsidR="00FB0AA5">
        <w:rPr>
          <w:rFonts w:asciiTheme="minorHAnsi" w:hAnsiTheme="minorHAnsi" w:cs="Arial"/>
        </w:rPr>
        <w:t>)</w:t>
      </w:r>
      <w:r w:rsidRPr="00FB0AA5">
        <w:rPr>
          <w:rFonts w:asciiTheme="minorHAnsi" w:hAnsiTheme="minorHAnsi" w:cs="Arial"/>
        </w:rPr>
        <w:t xml:space="preserve"> requires </w:t>
      </w:r>
      <w:r w:rsidR="00FB0AA5">
        <w:rPr>
          <w:rFonts w:asciiTheme="minorHAnsi" w:hAnsiTheme="minorHAnsi" w:cs="Arial"/>
        </w:rPr>
        <w:t>the Australian Energy Market Operator</w:t>
      </w:r>
      <w:r w:rsidRPr="00FB0AA5">
        <w:rPr>
          <w:rFonts w:asciiTheme="minorHAnsi" w:hAnsiTheme="minorHAnsi" w:cs="Arial"/>
        </w:rPr>
        <w:t xml:space="preserve"> to:</w:t>
      </w:r>
    </w:p>
    <w:p w14:paraId="200CF320" w14:textId="44C05576" w:rsidR="00CB560D" w:rsidRPr="002F64A1" w:rsidRDefault="00CB560D" w:rsidP="002F64A1">
      <w:pPr>
        <w:pStyle w:val="ListParagraph"/>
        <w:numPr>
          <w:ilvl w:val="0"/>
          <w:numId w:val="12"/>
        </w:numPr>
        <w:spacing w:before="200"/>
        <w:ind w:left="426"/>
        <w:rPr>
          <w:rFonts w:cs="Arial"/>
        </w:rPr>
      </w:pPr>
      <w:r w:rsidRPr="002F64A1">
        <w:rPr>
          <w:rFonts w:cs="Arial"/>
        </w:rPr>
        <w:t>develop and publish a detailed description of each kind of Market Ancillary Service and the performance parameters and requirements which must be satisfied in order for a service to qualify as the relevant market ancillary service</w:t>
      </w:r>
      <w:r w:rsidRPr="002F64A1">
        <w:rPr>
          <w:vertAlign w:val="superscript"/>
        </w:rPr>
        <w:footnoteReference w:id="8"/>
      </w:r>
    </w:p>
    <w:p w14:paraId="2BD7E4D3" w14:textId="77777777" w:rsidR="00CB560D" w:rsidRPr="002F64A1" w:rsidRDefault="00CB560D" w:rsidP="002F64A1">
      <w:pPr>
        <w:pStyle w:val="ListParagraph"/>
        <w:numPr>
          <w:ilvl w:val="0"/>
          <w:numId w:val="12"/>
        </w:numPr>
        <w:spacing w:before="200"/>
        <w:ind w:left="426"/>
        <w:rPr>
          <w:rFonts w:cs="Arial"/>
        </w:rPr>
      </w:pPr>
      <w:proofErr w:type="gramStart"/>
      <w:r w:rsidRPr="002F64A1">
        <w:rPr>
          <w:rFonts w:cs="Arial"/>
        </w:rPr>
        <w:t>develop</w:t>
      </w:r>
      <w:proofErr w:type="gramEnd"/>
      <w:r w:rsidRPr="002F64A1">
        <w:rPr>
          <w:rFonts w:cs="Arial"/>
        </w:rPr>
        <w:t xml:space="preserve"> and publish detailed descriptions of each type of Network Support and Control Ancillary Service.</w:t>
      </w:r>
      <w:r w:rsidRPr="002F64A1">
        <w:rPr>
          <w:vertAlign w:val="superscript"/>
        </w:rPr>
        <w:footnoteReference w:id="9"/>
      </w:r>
    </w:p>
    <w:p w14:paraId="14723019" w14:textId="0B176A51" w:rsidR="00CB560D" w:rsidRPr="002F64A1" w:rsidRDefault="00CB560D" w:rsidP="00CB560D">
      <w:pPr>
        <w:rPr>
          <w:rFonts w:asciiTheme="minorHAnsi" w:hAnsiTheme="minorHAnsi" w:cs="Arial"/>
        </w:rPr>
      </w:pPr>
      <w:r w:rsidRPr="002F64A1">
        <w:rPr>
          <w:rFonts w:asciiTheme="minorHAnsi" w:hAnsiTheme="minorHAnsi" w:cs="Arial"/>
        </w:rPr>
        <w:t xml:space="preserve">The </w:t>
      </w:r>
      <w:r w:rsidR="00FB0AA5">
        <w:rPr>
          <w:rFonts w:asciiTheme="minorHAnsi" w:hAnsiTheme="minorHAnsi" w:cs="Arial"/>
        </w:rPr>
        <w:t>National Electricity Rules</w:t>
      </w:r>
      <w:r w:rsidRPr="002F64A1">
        <w:rPr>
          <w:rFonts w:asciiTheme="minorHAnsi" w:hAnsiTheme="minorHAnsi" w:cs="Arial"/>
        </w:rPr>
        <w:t xml:space="preserve"> also impose requirements for consultation regarding changes to the ESS specifications</w:t>
      </w:r>
      <w:r w:rsidR="00FB0AA5">
        <w:rPr>
          <w:rFonts w:asciiTheme="minorHAnsi" w:hAnsiTheme="minorHAnsi" w:cs="Arial"/>
        </w:rPr>
        <w:t xml:space="preserve"> and </w:t>
      </w:r>
      <w:r w:rsidRPr="002F64A1">
        <w:rPr>
          <w:rFonts w:asciiTheme="minorHAnsi" w:hAnsiTheme="minorHAnsi" w:cs="Arial"/>
        </w:rPr>
        <w:t>descriptions.</w:t>
      </w:r>
      <w:r w:rsidRPr="008218E4">
        <w:rPr>
          <w:rFonts w:asciiTheme="minorHAnsi" w:hAnsiTheme="minorHAnsi" w:cs="Arial"/>
          <w:vertAlign w:val="superscript"/>
        </w:rPr>
        <w:footnoteReference w:id="10"/>
      </w:r>
    </w:p>
    <w:p w14:paraId="7BABE075" w14:textId="77777777" w:rsidR="00CB560D" w:rsidRPr="002F64A1" w:rsidRDefault="00CB560D" w:rsidP="00CB560D">
      <w:pPr>
        <w:rPr>
          <w:rFonts w:asciiTheme="minorHAnsi" w:hAnsiTheme="minorHAnsi" w:cs="Arial"/>
        </w:rPr>
      </w:pPr>
      <w:r w:rsidRPr="002F64A1">
        <w:rPr>
          <w:rFonts w:asciiTheme="minorHAnsi" w:hAnsiTheme="minorHAnsi" w:cs="Arial"/>
        </w:rPr>
        <w:t>A similar arrangement could be adopted in the Territory. However, local institutional and industry arrangements could warrant more robust regulatory prescription and oversight to secure</w:t>
      </w:r>
      <w:r w:rsidR="00FB0AA5">
        <w:rPr>
          <w:rFonts w:asciiTheme="minorHAnsi" w:hAnsiTheme="minorHAnsi" w:cs="Arial"/>
        </w:rPr>
        <w:t xml:space="preserve"> industry</w:t>
      </w:r>
      <w:r w:rsidRPr="002F64A1">
        <w:rPr>
          <w:rFonts w:asciiTheme="minorHAnsi" w:hAnsiTheme="minorHAnsi" w:cs="Arial"/>
        </w:rPr>
        <w:t xml:space="preserve"> confidence in the ESS framework.</w:t>
      </w:r>
    </w:p>
    <w:p w14:paraId="0BCEDD3F" w14:textId="77777777" w:rsidR="00CB560D" w:rsidRPr="002F64A1" w:rsidRDefault="00CB560D" w:rsidP="00BE0579">
      <w:pPr>
        <w:pStyle w:val="Heading3"/>
      </w:pPr>
      <w:r w:rsidRPr="002F64A1">
        <w:t>Flexibility to procure undefined ESS</w:t>
      </w:r>
    </w:p>
    <w:p w14:paraId="1A0A6D5D" w14:textId="7AA0C447" w:rsidR="00CB560D" w:rsidRPr="002F64A1" w:rsidRDefault="0009119B" w:rsidP="00CB560D">
      <w:pPr>
        <w:rPr>
          <w:rFonts w:asciiTheme="minorHAnsi" w:hAnsiTheme="minorHAnsi" w:cs="Arial"/>
        </w:rPr>
      </w:pPr>
      <w:r w:rsidRPr="002F64A1">
        <w:rPr>
          <w:rFonts w:asciiTheme="minorHAnsi" w:hAnsiTheme="minorHAnsi" w:cs="Arial"/>
        </w:rPr>
        <w:t>Clearly defining ancillary services provides a framework for the efficient provision of ESS in which system participants can be confident to invest.</w:t>
      </w:r>
      <w:r>
        <w:rPr>
          <w:rFonts w:asciiTheme="minorHAnsi" w:hAnsiTheme="minorHAnsi" w:cs="Arial"/>
        </w:rPr>
        <w:t xml:space="preserve"> However, g</w:t>
      </w:r>
      <w:r w:rsidR="00CB560D" w:rsidRPr="002F64A1">
        <w:rPr>
          <w:rFonts w:asciiTheme="minorHAnsi" w:hAnsiTheme="minorHAnsi" w:cs="Arial"/>
        </w:rPr>
        <w:t>iven rapidly changing electricity systems, there may be a case for providing flexibility for the System Controller to procure additional categories of ESS to those defined in the regulatory framework.</w:t>
      </w:r>
    </w:p>
    <w:p w14:paraId="1D125A76" w14:textId="0496E363" w:rsidR="00CB560D" w:rsidRPr="002F64A1" w:rsidRDefault="00CB560D" w:rsidP="00CB560D">
      <w:pPr>
        <w:rPr>
          <w:rFonts w:asciiTheme="minorHAnsi" w:hAnsiTheme="minorHAnsi" w:cs="Arial"/>
        </w:rPr>
      </w:pPr>
      <w:r w:rsidRPr="002F64A1">
        <w:rPr>
          <w:rFonts w:asciiTheme="minorHAnsi" w:hAnsiTheme="minorHAnsi" w:cs="Arial"/>
        </w:rPr>
        <w:t>The Market Rules for the</w:t>
      </w:r>
      <w:r w:rsidR="006D1863">
        <w:rPr>
          <w:rFonts w:asciiTheme="minorHAnsi" w:hAnsiTheme="minorHAnsi" w:cs="Arial"/>
        </w:rPr>
        <w:t xml:space="preserve"> Wholesale Electricity Market (WEM) operating in the</w:t>
      </w:r>
      <w:r w:rsidRPr="002F64A1">
        <w:rPr>
          <w:rFonts w:asciiTheme="minorHAnsi" w:hAnsiTheme="minorHAnsi" w:cs="Arial"/>
        </w:rPr>
        <w:t xml:space="preserve"> South-</w:t>
      </w:r>
      <w:r w:rsidR="006D1863">
        <w:rPr>
          <w:rFonts w:asciiTheme="minorHAnsi" w:hAnsiTheme="minorHAnsi" w:cs="Arial"/>
        </w:rPr>
        <w:t>W</w:t>
      </w:r>
      <w:r w:rsidRPr="002F64A1">
        <w:rPr>
          <w:rFonts w:asciiTheme="minorHAnsi" w:hAnsiTheme="minorHAnsi" w:cs="Arial"/>
        </w:rPr>
        <w:t>est Interconnected System in Western Australia, include a catch-all definition of ‘Dispatch Support Service’ which covers any other service that is needed to maintain power system security and reliability that is not covered in already defined service categories.</w:t>
      </w:r>
    </w:p>
    <w:p w14:paraId="642513E4" w14:textId="6A8E6F2B" w:rsidR="00CB560D" w:rsidRPr="002F64A1" w:rsidRDefault="00B1509D" w:rsidP="00CB560D">
      <w:pPr>
        <w:rPr>
          <w:rFonts w:asciiTheme="minorHAnsi" w:hAnsiTheme="minorHAnsi" w:cs="Arial"/>
        </w:rPr>
      </w:pPr>
      <w:r>
        <w:rPr>
          <w:rFonts w:asciiTheme="minorHAnsi" w:hAnsiTheme="minorHAnsi" w:cs="Arial"/>
        </w:rPr>
        <w:t>A</w:t>
      </w:r>
      <w:r w:rsidR="00CB560D" w:rsidRPr="002F64A1">
        <w:rPr>
          <w:rFonts w:asciiTheme="minorHAnsi" w:hAnsiTheme="minorHAnsi" w:cs="Arial"/>
        </w:rPr>
        <w:t xml:space="preserve"> Dispatch Support Service</w:t>
      </w:r>
      <w:r>
        <w:rPr>
          <w:rFonts w:asciiTheme="minorHAnsi" w:hAnsiTheme="minorHAnsi" w:cs="Arial"/>
        </w:rPr>
        <w:t xml:space="preserve"> has previously been proposed to</w:t>
      </w:r>
      <w:r w:rsidR="00CB560D" w:rsidRPr="002F64A1">
        <w:rPr>
          <w:rFonts w:asciiTheme="minorHAnsi" w:hAnsiTheme="minorHAnsi" w:cs="Arial"/>
        </w:rPr>
        <w:t xml:space="preserve"> be introduced </w:t>
      </w:r>
      <w:r w:rsidR="00453288">
        <w:rPr>
          <w:rFonts w:asciiTheme="minorHAnsi" w:hAnsiTheme="minorHAnsi" w:cs="Arial"/>
        </w:rPr>
        <w:t xml:space="preserve">in the Territory </w:t>
      </w:r>
      <w:r w:rsidR="00CB560D" w:rsidRPr="002F64A1">
        <w:rPr>
          <w:rFonts w:asciiTheme="minorHAnsi" w:hAnsiTheme="minorHAnsi" w:cs="Arial"/>
        </w:rPr>
        <w:t>to maximise dispatch of large</w:t>
      </w:r>
      <w:r w:rsidR="00CB560D" w:rsidRPr="002F64A1">
        <w:rPr>
          <w:rFonts w:asciiTheme="minorHAnsi" w:hAnsiTheme="minorHAnsi" w:cs="Arial"/>
        </w:rPr>
        <w:noBreakHyphen/>
        <w:t>scale solar PV connected to the Darwin to Katherine 132 kV transmission line at times of high solar irradiance.</w:t>
      </w:r>
      <w:r w:rsidR="00CB560D" w:rsidRPr="002F64A1">
        <w:rPr>
          <w:rFonts w:asciiTheme="minorHAnsi" w:hAnsiTheme="minorHAnsi"/>
          <w:vertAlign w:val="superscript"/>
        </w:rPr>
        <w:footnoteReference w:id="11"/>
      </w:r>
    </w:p>
    <w:p w14:paraId="7D79066A" w14:textId="41C67E2E" w:rsidR="00CB560D" w:rsidRPr="002F64A1" w:rsidRDefault="00453288" w:rsidP="00CB560D">
      <w:pPr>
        <w:rPr>
          <w:rFonts w:asciiTheme="minorHAnsi" w:hAnsiTheme="minorHAnsi" w:cs="Arial"/>
        </w:rPr>
      </w:pPr>
      <w:r>
        <w:rPr>
          <w:rFonts w:asciiTheme="minorHAnsi" w:hAnsiTheme="minorHAnsi" w:cs="Arial"/>
        </w:rPr>
        <w:t>Without some constraint on the System Controller, t</w:t>
      </w:r>
      <w:r w:rsidR="00CB560D" w:rsidRPr="002F64A1">
        <w:rPr>
          <w:rFonts w:asciiTheme="minorHAnsi" w:hAnsiTheme="minorHAnsi" w:cs="Arial"/>
        </w:rPr>
        <w:t xml:space="preserve">he use of undefined ESS </w:t>
      </w:r>
      <w:r>
        <w:rPr>
          <w:rFonts w:asciiTheme="minorHAnsi" w:hAnsiTheme="minorHAnsi" w:cs="Arial"/>
        </w:rPr>
        <w:t>would be</w:t>
      </w:r>
      <w:r w:rsidR="00CB560D" w:rsidRPr="002F64A1">
        <w:rPr>
          <w:rFonts w:asciiTheme="minorHAnsi" w:hAnsiTheme="minorHAnsi" w:cs="Arial"/>
        </w:rPr>
        <w:t xml:space="preserve"> likely</w:t>
      </w:r>
      <w:r w:rsidR="0009119B">
        <w:rPr>
          <w:rFonts w:asciiTheme="minorHAnsi" w:hAnsiTheme="minorHAnsi" w:cs="Arial"/>
        </w:rPr>
        <w:t xml:space="preserve"> to</w:t>
      </w:r>
      <w:r w:rsidR="00CB560D" w:rsidRPr="002F64A1">
        <w:rPr>
          <w:rFonts w:asciiTheme="minorHAnsi" w:hAnsiTheme="minorHAnsi" w:cs="Arial"/>
        </w:rPr>
        <w:t xml:space="preserve"> undermine confidence in the ESS framework. In the WEM,</w:t>
      </w:r>
      <w:r w:rsidR="0009119B">
        <w:rPr>
          <w:rFonts w:asciiTheme="minorHAnsi" w:hAnsiTheme="minorHAnsi" w:cs="Arial"/>
        </w:rPr>
        <w:t xml:space="preserve"> oversight is provided by</w:t>
      </w:r>
      <w:r w:rsidR="00CB560D" w:rsidRPr="002F64A1">
        <w:rPr>
          <w:rFonts w:asciiTheme="minorHAnsi" w:hAnsiTheme="minorHAnsi" w:cs="Arial"/>
        </w:rPr>
        <w:t xml:space="preserve"> </w:t>
      </w:r>
      <w:r w:rsidR="0009119B" w:rsidRPr="002F64A1">
        <w:rPr>
          <w:rFonts w:asciiTheme="minorHAnsi" w:hAnsiTheme="minorHAnsi" w:cs="Arial"/>
        </w:rPr>
        <w:t xml:space="preserve">the independent industry </w:t>
      </w:r>
      <w:r w:rsidR="0009119B" w:rsidRPr="002F64A1">
        <w:rPr>
          <w:rFonts w:asciiTheme="minorHAnsi" w:hAnsiTheme="minorHAnsi" w:cs="Arial"/>
        </w:rPr>
        <w:lastRenderedPageBreak/>
        <w:t xml:space="preserve">regulator, the Economic Regulation Authority, </w:t>
      </w:r>
      <w:r w:rsidR="0009119B">
        <w:rPr>
          <w:rFonts w:asciiTheme="minorHAnsi" w:hAnsiTheme="minorHAnsi" w:cs="Arial"/>
        </w:rPr>
        <w:t xml:space="preserve">from which </w:t>
      </w:r>
      <w:r w:rsidR="00CB560D" w:rsidRPr="002F64A1">
        <w:rPr>
          <w:rFonts w:asciiTheme="minorHAnsi" w:hAnsiTheme="minorHAnsi" w:cs="Arial"/>
        </w:rPr>
        <w:t xml:space="preserve">the System Controller must obtain approval before entering into a contract for </w:t>
      </w:r>
      <w:r>
        <w:rPr>
          <w:rFonts w:asciiTheme="minorHAnsi" w:hAnsiTheme="minorHAnsi" w:cs="Arial"/>
        </w:rPr>
        <w:t xml:space="preserve">a </w:t>
      </w:r>
      <w:r w:rsidR="00CB560D" w:rsidRPr="002F64A1">
        <w:rPr>
          <w:rFonts w:asciiTheme="minorHAnsi" w:hAnsiTheme="minorHAnsi" w:cs="Arial"/>
        </w:rPr>
        <w:t>Dispatch Support Service.</w:t>
      </w:r>
    </w:p>
    <w:p w14:paraId="26F802A0" w14:textId="77777777" w:rsidR="00CB560D" w:rsidRPr="002F64A1" w:rsidRDefault="00CB560D" w:rsidP="00BE0579">
      <w:pPr>
        <w:pStyle w:val="Heading3"/>
      </w:pPr>
      <w:r w:rsidRPr="002F64A1">
        <w:t>Inertia and system strength</w:t>
      </w:r>
    </w:p>
    <w:p w14:paraId="1389802E" w14:textId="77777777" w:rsidR="00CB560D" w:rsidRPr="00136A02" w:rsidRDefault="00CB560D" w:rsidP="002F64A1">
      <w:pPr>
        <w:rPr>
          <w:rFonts w:asciiTheme="minorHAnsi" w:hAnsiTheme="minorHAnsi" w:cs="Arial"/>
        </w:rPr>
      </w:pPr>
      <w:r w:rsidRPr="00136A02">
        <w:rPr>
          <w:rFonts w:asciiTheme="minorHAnsi" w:hAnsiTheme="minorHAnsi" w:cs="Arial"/>
        </w:rPr>
        <w:t xml:space="preserve">The transition to non-synchronous renewables generation has raised the issue of how to preserve levels of ESS historically </w:t>
      </w:r>
      <w:r w:rsidR="00F86D4C" w:rsidRPr="00136A02">
        <w:rPr>
          <w:rFonts w:asciiTheme="minorHAnsi" w:hAnsiTheme="minorHAnsi" w:cs="Arial"/>
        </w:rPr>
        <w:t>provided as</w:t>
      </w:r>
      <w:r w:rsidR="009D3FE4" w:rsidRPr="00136A02">
        <w:rPr>
          <w:rFonts w:asciiTheme="minorHAnsi" w:hAnsiTheme="minorHAnsi" w:cs="Arial"/>
        </w:rPr>
        <w:t xml:space="preserve"> </w:t>
      </w:r>
      <w:r w:rsidRPr="00136A02">
        <w:rPr>
          <w:rFonts w:asciiTheme="minorHAnsi" w:hAnsiTheme="minorHAnsi" w:cs="Arial"/>
        </w:rPr>
        <w:t>a by-product of electricity generation from thermal synchronous generators.</w:t>
      </w:r>
    </w:p>
    <w:p w14:paraId="1D072633" w14:textId="77777777" w:rsidR="00CB560D" w:rsidRPr="00136A02" w:rsidRDefault="00CB560D" w:rsidP="002F64A1">
      <w:pPr>
        <w:rPr>
          <w:rFonts w:asciiTheme="minorHAnsi" w:hAnsiTheme="minorHAnsi" w:cs="Arial"/>
        </w:rPr>
      </w:pPr>
      <w:r w:rsidRPr="00136A02">
        <w:rPr>
          <w:rFonts w:asciiTheme="minorHAnsi" w:hAnsiTheme="minorHAnsi" w:cs="Arial"/>
        </w:rPr>
        <w:t>Two key system characteristics being affected by the transition are inertia and system strength.</w:t>
      </w:r>
    </w:p>
    <w:p w14:paraId="365142ED" w14:textId="77777777" w:rsidR="00CB560D" w:rsidRPr="00136A02" w:rsidRDefault="00CB560D" w:rsidP="002F64A1">
      <w:pPr>
        <w:pStyle w:val="ListParagraph"/>
        <w:numPr>
          <w:ilvl w:val="0"/>
          <w:numId w:val="12"/>
        </w:numPr>
        <w:spacing w:before="200"/>
        <w:ind w:left="426"/>
        <w:rPr>
          <w:rFonts w:cs="Arial"/>
        </w:rPr>
      </w:pPr>
      <w:r w:rsidRPr="00136A02">
        <w:rPr>
          <w:rFonts w:cs="Arial"/>
        </w:rPr>
        <w:t>Inertia is the tendency of the rotating mass of a thermal synchronous generator (the alternator rotor and any other directly coupled mass) to maintain uniform motion and resist change. For example, if the generator experiences a sudden event, such as the addition of a large load, its speed will slow gradually as it adjusts to the new load and it is inertia that dictates the rate of gradual change. More inertia results in a slower change, while less inertia results in a faster change. When this mechanical response is reflected onto the electrical power system it is called the inertial response and it limits the rate of change of frequency (</w:t>
      </w:r>
      <w:proofErr w:type="spellStart"/>
      <w:r w:rsidRPr="00136A02">
        <w:rPr>
          <w:rFonts w:cs="Arial"/>
        </w:rPr>
        <w:t>RoCoF</w:t>
      </w:r>
      <w:proofErr w:type="spellEnd"/>
      <w:r w:rsidRPr="00136A02">
        <w:rPr>
          <w:rFonts w:cs="Arial"/>
        </w:rPr>
        <w:t>)</w:t>
      </w:r>
      <w:r w:rsidR="009D3FE4" w:rsidRPr="00136A02">
        <w:rPr>
          <w:rFonts w:cs="Arial"/>
        </w:rPr>
        <w:t xml:space="preserve"> of the power system</w:t>
      </w:r>
      <w:r w:rsidRPr="00136A02">
        <w:rPr>
          <w:rFonts w:cs="Arial"/>
        </w:rPr>
        <w:t>.</w:t>
      </w:r>
    </w:p>
    <w:p w14:paraId="6681541D" w14:textId="77777777" w:rsidR="00CB560D" w:rsidRPr="00136A02" w:rsidRDefault="00CB560D" w:rsidP="002F64A1">
      <w:pPr>
        <w:pStyle w:val="ListParagraph"/>
        <w:numPr>
          <w:ilvl w:val="0"/>
          <w:numId w:val="12"/>
        </w:numPr>
        <w:spacing w:before="200"/>
        <w:ind w:left="426"/>
        <w:rPr>
          <w:rFonts w:cs="Arial"/>
        </w:rPr>
      </w:pPr>
      <w:r w:rsidRPr="00136A02">
        <w:rPr>
          <w:rFonts w:cs="Arial"/>
        </w:rPr>
        <w:t>System strength covers a number of technical aspects that contribute to the system’s ability to return to a stable condition following a disturbance. System strength is local and indicates the robustness of a particular point in the power system. At a point on the network with high system strength, the voltage will change less for a given change in load compared with a point on the network with low system strength.</w:t>
      </w:r>
    </w:p>
    <w:p w14:paraId="0A84CA75" w14:textId="77777777" w:rsidR="00CB560D" w:rsidRPr="00136A02" w:rsidRDefault="00CB560D" w:rsidP="002F64A1">
      <w:pPr>
        <w:rPr>
          <w:rFonts w:asciiTheme="minorHAnsi" w:hAnsiTheme="minorHAnsi" w:cs="Arial"/>
        </w:rPr>
      </w:pPr>
      <w:r w:rsidRPr="00136A02">
        <w:rPr>
          <w:rFonts w:asciiTheme="minorHAnsi" w:hAnsiTheme="minorHAnsi" w:cs="Arial"/>
        </w:rPr>
        <w:t>The displacement of thermal synchronous generation by non-synchronous generation like solar has contributed to decreases in inertia and system strength in both the NEM and WEM.</w:t>
      </w:r>
    </w:p>
    <w:p w14:paraId="2357AFE4" w14:textId="1201DFA8" w:rsidR="00CB560D" w:rsidRPr="00136A02" w:rsidRDefault="00CB560D" w:rsidP="002F64A1">
      <w:pPr>
        <w:rPr>
          <w:rFonts w:asciiTheme="minorHAnsi" w:hAnsiTheme="minorHAnsi" w:cs="Arial"/>
        </w:rPr>
      </w:pPr>
      <w:r w:rsidRPr="00136A02">
        <w:rPr>
          <w:rFonts w:asciiTheme="minorHAnsi" w:hAnsiTheme="minorHAnsi" w:cs="Arial"/>
        </w:rPr>
        <w:t xml:space="preserve">In the NEM, new rules commenced </w:t>
      </w:r>
      <w:r w:rsidR="005715AA" w:rsidRPr="00136A02">
        <w:rPr>
          <w:rFonts w:asciiTheme="minorHAnsi" w:hAnsiTheme="minorHAnsi" w:cs="Arial"/>
        </w:rPr>
        <w:t>in 201</w:t>
      </w:r>
      <w:r w:rsidR="00345BDC" w:rsidRPr="00136A02">
        <w:rPr>
          <w:rFonts w:asciiTheme="minorHAnsi" w:hAnsiTheme="minorHAnsi" w:cs="Arial"/>
        </w:rPr>
        <w:t>8</w:t>
      </w:r>
      <w:r w:rsidR="005715AA" w:rsidRPr="00136A02">
        <w:rPr>
          <w:rFonts w:asciiTheme="minorHAnsi" w:hAnsiTheme="minorHAnsi" w:cs="Arial"/>
        </w:rPr>
        <w:t xml:space="preserve"> </w:t>
      </w:r>
      <w:r w:rsidRPr="00136A02">
        <w:rPr>
          <w:rFonts w:asciiTheme="minorHAnsi" w:hAnsiTheme="minorHAnsi" w:cs="Arial"/>
        </w:rPr>
        <w:t>requiring Transmission Network Service Providers</w:t>
      </w:r>
      <w:r w:rsidR="005715AA" w:rsidRPr="00136A02">
        <w:rPr>
          <w:rFonts w:asciiTheme="minorHAnsi" w:hAnsiTheme="minorHAnsi" w:cs="Arial"/>
        </w:rPr>
        <w:t xml:space="preserve"> (TNSP)</w:t>
      </w:r>
      <w:r w:rsidRPr="00136A02">
        <w:rPr>
          <w:rFonts w:asciiTheme="minorHAnsi" w:hAnsiTheme="minorHAnsi" w:cs="Arial"/>
        </w:rPr>
        <w:t xml:space="preserve"> to ensure minimum levels of system strength and inertia. An obligation was also introduced for connecting generators to ‘do no harm’ to the level of system strength necessary to maintain the security of the power system.</w:t>
      </w:r>
    </w:p>
    <w:p w14:paraId="760378F2" w14:textId="381BE1E6" w:rsidR="009D3FE4" w:rsidRPr="00136A02" w:rsidRDefault="005B6075" w:rsidP="002F64A1">
      <w:pPr>
        <w:rPr>
          <w:rFonts w:asciiTheme="minorHAnsi" w:hAnsiTheme="minorHAnsi" w:cs="Arial"/>
        </w:rPr>
      </w:pPr>
      <w:r w:rsidRPr="00136A02">
        <w:rPr>
          <w:rFonts w:asciiTheme="minorHAnsi" w:hAnsiTheme="minorHAnsi" w:cs="Arial"/>
        </w:rPr>
        <w:t xml:space="preserve">TNSPs were chosen for the obligation because, under the National Electricity Rules economic regulatory framework, they have an incentive to coordinate the least-cost approach to meeting the inertia and system </w:t>
      </w:r>
      <w:r w:rsidR="00F47798" w:rsidRPr="00136A02">
        <w:rPr>
          <w:rFonts w:asciiTheme="minorHAnsi" w:hAnsiTheme="minorHAnsi" w:cs="Arial"/>
        </w:rPr>
        <w:t>streng</w:t>
      </w:r>
      <w:r w:rsidRPr="00136A02">
        <w:rPr>
          <w:rFonts w:asciiTheme="minorHAnsi" w:hAnsiTheme="minorHAnsi" w:cs="Arial"/>
        </w:rPr>
        <w:t>t</w:t>
      </w:r>
      <w:r w:rsidR="00F47798" w:rsidRPr="00136A02">
        <w:rPr>
          <w:rFonts w:asciiTheme="minorHAnsi" w:hAnsiTheme="minorHAnsi" w:cs="Arial"/>
        </w:rPr>
        <w:t>h</w:t>
      </w:r>
      <w:r w:rsidRPr="00136A02">
        <w:rPr>
          <w:rFonts w:asciiTheme="minorHAnsi" w:hAnsiTheme="minorHAnsi" w:cs="Arial"/>
        </w:rPr>
        <w:t xml:space="preserve"> obligations</w:t>
      </w:r>
      <w:r w:rsidR="008F28D1" w:rsidRPr="00136A02">
        <w:rPr>
          <w:rFonts w:asciiTheme="minorHAnsi" w:hAnsiTheme="minorHAnsi" w:cs="Arial"/>
        </w:rPr>
        <w:t xml:space="preserve"> with oversight provided by</w:t>
      </w:r>
      <w:r w:rsidRPr="00136A02">
        <w:rPr>
          <w:rFonts w:asciiTheme="minorHAnsi" w:hAnsiTheme="minorHAnsi" w:cs="Arial"/>
        </w:rPr>
        <w:t xml:space="preserve"> the Australian Energy Regulator.</w:t>
      </w:r>
      <w:r w:rsidR="00F47798" w:rsidRPr="00136A02">
        <w:rPr>
          <w:rStyle w:val="FootnoteReference"/>
          <w:rFonts w:asciiTheme="minorHAnsi" w:hAnsiTheme="minorHAnsi" w:cs="Arial"/>
        </w:rPr>
        <w:footnoteReference w:id="12"/>
      </w:r>
    </w:p>
    <w:p w14:paraId="7E43C1D0" w14:textId="1A443169" w:rsidR="00CB560D" w:rsidRPr="00136A02" w:rsidRDefault="005B6075" w:rsidP="002F64A1">
      <w:pPr>
        <w:rPr>
          <w:rFonts w:asciiTheme="minorHAnsi" w:hAnsiTheme="minorHAnsi" w:cs="Arial"/>
        </w:rPr>
      </w:pPr>
      <w:r w:rsidRPr="00136A02">
        <w:rPr>
          <w:rFonts w:asciiTheme="minorHAnsi" w:hAnsiTheme="minorHAnsi" w:cs="Arial"/>
        </w:rPr>
        <w:t>Although the</w:t>
      </w:r>
      <w:r w:rsidR="00CB560D" w:rsidRPr="00136A02">
        <w:rPr>
          <w:rFonts w:asciiTheme="minorHAnsi" w:hAnsiTheme="minorHAnsi" w:cs="Arial"/>
        </w:rPr>
        <w:t xml:space="preserve"> Territory has applied the National Electricity Law and Rules,</w:t>
      </w:r>
      <w:r w:rsidRPr="00136A02">
        <w:rPr>
          <w:rFonts w:asciiTheme="minorHAnsi" w:hAnsiTheme="minorHAnsi" w:cs="Arial"/>
        </w:rPr>
        <w:t xml:space="preserve"> including the framework for economic regulation of distribution services modified for the Territory’s circumstances and to cover transmission assets,</w:t>
      </w:r>
      <w:r w:rsidR="00CB560D" w:rsidRPr="00136A02">
        <w:rPr>
          <w:rFonts w:asciiTheme="minorHAnsi" w:hAnsiTheme="minorHAnsi" w:cs="Arial"/>
        </w:rPr>
        <w:t xml:space="preserve"> to date</w:t>
      </w:r>
      <w:r w:rsidRPr="00136A02">
        <w:rPr>
          <w:rFonts w:asciiTheme="minorHAnsi" w:hAnsiTheme="minorHAnsi" w:cs="Arial"/>
        </w:rPr>
        <w:t xml:space="preserve"> the Territory</w:t>
      </w:r>
      <w:r w:rsidR="00CB560D" w:rsidRPr="00136A02">
        <w:rPr>
          <w:rFonts w:asciiTheme="minorHAnsi" w:hAnsiTheme="minorHAnsi" w:cs="Arial"/>
        </w:rPr>
        <w:t xml:space="preserve"> has not adopted the national </w:t>
      </w:r>
      <w:r w:rsidR="008F28D1" w:rsidRPr="00136A02">
        <w:rPr>
          <w:rFonts w:asciiTheme="minorHAnsi" w:hAnsiTheme="minorHAnsi" w:cs="Arial"/>
        </w:rPr>
        <w:t>arrangements</w:t>
      </w:r>
      <w:r w:rsidR="00CB560D" w:rsidRPr="00136A02">
        <w:rPr>
          <w:rFonts w:asciiTheme="minorHAnsi" w:hAnsiTheme="minorHAnsi" w:cs="Arial"/>
        </w:rPr>
        <w:t xml:space="preserve"> for inertia and system strength.</w:t>
      </w:r>
    </w:p>
    <w:p w14:paraId="086F49F8" w14:textId="45283A86" w:rsidR="00CB560D" w:rsidRPr="00136A02" w:rsidRDefault="00CB560D" w:rsidP="00CB560D">
      <w:pPr>
        <w:rPr>
          <w:rFonts w:asciiTheme="minorHAnsi" w:hAnsiTheme="minorHAnsi" w:cs="Arial"/>
        </w:rPr>
      </w:pPr>
      <w:r w:rsidRPr="00136A02">
        <w:rPr>
          <w:rFonts w:asciiTheme="minorHAnsi" w:hAnsiTheme="minorHAnsi" w:cs="Arial"/>
        </w:rPr>
        <w:t xml:space="preserve">In the WEM, the Energy Transformation Taskforce has proposed the development of a new </w:t>
      </w:r>
      <w:proofErr w:type="spellStart"/>
      <w:r w:rsidRPr="00136A02">
        <w:rPr>
          <w:rFonts w:asciiTheme="minorHAnsi" w:hAnsiTheme="minorHAnsi" w:cs="Arial"/>
        </w:rPr>
        <w:t>RoCoF</w:t>
      </w:r>
      <w:proofErr w:type="spellEnd"/>
      <w:r w:rsidRPr="00136A02">
        <w:rPr>
          <w:rFonts w:asciiTheme="minorHAnsi" w:hAnsiTheme="minorHAnsi" w:cs="Arial"/>
        </w:rPr>
        <w:t xml:space="preserve"> ESS to provide an inertial (or equivalent) response to immediately slow </w:t>
      </w:r>
      <w:proofErr w:type="spellStart"/>
      <w:r w:rsidRPr="00136A02">
        <w:rPr>
          <w:rFonts w:asciiTheme="minorHAnsi" w:hAnsiTheme="minorHAnsi" w:cs="Arial"/>
        </w:rPr>
        <w:t>RoCoF</w:t>
      </w:r>
      <w:proofErr w:type="spellEnd"/>
      <w:r w:rsidRPr="00136A02">
        <w:rPr>
          <w:rFonts w:asciiTheme="minorHAnsi" w:hAnsiTheme="minorHAnsi" w:cs="Arial"/>
        </w:rPr>
        <w:t xml:space="preserve"> foll</w:t>
      </w:r>
      <w:r w:rsidR="002F64A1" w:rsidRPr="00136A02">
        <w:rPr>
          <w:rFonts w:asciiTheme="minorHAnsi" w:hAnsiTheme="minorHAnsi" w:cs="Arial"/>
        </w:rPr>
        <w:t>owing an event or disturbance.</w:t>
      </w:r>
      <w:r w:rsidR="00820882" w:rsidRPr="00136A02">
        <w:rPr>
          <w:rStyle w:val="FootnoteReference"/>
          <w:rFonts w:asciiTheme="minorHAnsi" w:hAnsiTheme="minorHAnsi" w:cs="Arial"/>
        </w:rPr>
        <w:footnoteReference w:id="13"/>
      </w:r>
    </w:p>
    <w:tbl>
      <w:tblPr>
        <w:tblStyle w:val="TableGrid"/>
        <w:tblW w:w="0" w:type="auto"/>
        <w:tblLook w:val="04A0" w:firstRow="1" w:lastRow="0" w:firstColumn="1" w:lastColumn="0" w:noHBand="0" w:noVBand="1"/>
      </w:tblPr>
      <w:tblGrid>
        <w:gridCol w:w="10308"/>
      </w:tblGrid>
      <w:tr w:rsidR="00CB560D" w14:paraId="7A6EF160" w14:textId="77777777" w:rsidTr="00BE0579">
        <w:trPr>
          <w:cantSplit/>
        </w:trPr>
        <w:tc>
          <w:tcPr>
            <w:tcW w:w="0" w:type="auto"/>
          </w:tcPr>
          <w:p w14:paraId="307556E2" w14:textId="77777777" w:rsidR="00CB560D" w:rsidRPr="00136A02" w:rsidRDefault="00CB560D" w:rsidP="002F64A1">
            <w:pPr>
              <w:spacing w:before="120"/>
              <w:rPr>
                <w:rFonts w:asciiTheme="minorHAnsi" w:hAnsiTheme="minorHAnsi" w:cs="Arial"/>
                <w:b/>
              </w:rPr>
            </w:pPr>
            <w:bookmarkStart w:id="13" w:name="_GoBack"/>
            <w:r w:rsidRPr="00136A02">
              <w:rPr>
                <w:rFonts w:asciiTheme="minorHAnsi" w:hAnsiTheme="minorHAnsi" w:cs="Arial"/>
                <w:b/>
              </w:rPr>
              <w:lastRenderedPageBreak/>
              <w:t>Question 2</w:t>
            </w:r>
          </w:p>
          <w:p w14:paraId="2092E0E3" w14:textId="20B61870" w:rsidR="00CB560D" w:rsidRPr="00136A02" w:rsidRDefault="00CB560D" w:rsidP="009F1A6F">
            <w:pPr>
              <w:pStyle w:val="ListParagraph"/>
              <w:numPr>
                <w:ilvl w:val="0"/>
                <w:numId w:val="17"/>
              </w:numPr>
              <w:spacing w:before="120"/>
              <w:rPr>
                <w:rFonts w:asciiTheme="minorHAnsi" w:eastAsia="Calibri" w:hAnsiTheme="minorHAnsi" w:cs="Arial"/>
                <w:iCs w:val="0"/>
              </w:rPr>
            </w:pPr>
            <w:r w:rsidRPr="00136A02">
              <w:rPr>
                <w:rFonts w:asciiTheme="minorHAnsi" w:eastAsia="Calibri" w:hAnsiTheme="minorHAnsi" w:cs="Arial"/>
                <w:iCs w:val="0"/>
              </w:rPr>
              <w:t xml:space="preserve">The </w:t>
            </w:r>
            <w:r w:rsidR="00DD050A" w:rsidRPr="00136A02">
              <w:rPr>
                <w:rFonts w:asciiTheme="minorHAnsi" w:eastAsia="Calibri" w:hAnsiTheme="minorHAnsi" w:cs="Arial"/>
                <w:iCs w:val="0"/>
              </w:rPr>
              <w:t>Design Development Team</w:t>
            </w:r>
            <w:r w:rsidRPr="00136A02">
              <w:rPr>
                <w:rFonts w:asciiTheme="minorHAnsi" w:eastAsia="Calibri" w:hAnsiTheme="minorHAnsi" w:cs="Arial"/>
                <w:iCs w:val="0"/>
              </w:rPr>
              <w:t xml:space="preserve"> is seeking initial stakeholder views on appropriate</w:t>
            </w:r>
            <w:r w:rsidR="00C86A4D" w:rsidRPr="00136A02">
              <w:rPr>
                <w:rFonts w:asciiTheme="minorHAnsi" w:eastAsia="Calibri" w:hAnsiTheme="minorHAnsi" w:cs="Arial"/>
                <w:iCs w:val="0"/>
              </w:rPr>
              <w:t xml:space="preserve"> ESS categories and definitions </w:t>
            </w:r>
            <w:r w:rsidRPr="00136A02">
              <w:rPr>
                <w:rFonts w:asciiTheme="minorHAnsi" w:eastAsia="Calibri" w:hAnsiTheme="minorHAnsi" w:cs="Arial"/>
                <w:iCs w:val="0"/>
              </w:rPr>
              <w:t>for the Territory’s regulated electricity systems, to inform</w:t>
            </w:r>
            <w:r w:rsidR="00C86A4D" w:rsidRPr="00136A02">
              <w:rPr>
                <w:rFonts w:asciiTheme="minorHAnsi" w:eastAsia="Calibri" w:hAnsiTheme="minorHAnsi" w:cs="Arial"/>
                <w:iCs w:val="0"/>
              </w:rPr>
              <w:t xml:space="preserve"> a</w:t>
            </w:r>
            <w:r w:rsidRPr="00136A02">
              <w:rPr>
                <w:rFonts w:asciiTheme="minorHAnsi" w:eastAsia="Calibri" w:hAnsiTheme="minorHAnsi" w:cs="Arial"/>
                <w:iCs w:val="0"/>
              </w:rPr>
              <w:t xml:space="preserve"> draft propos</w:t>
            </w:r>
            <w:r w:rsidR="00C86A4D" w:rsidRPr="00136A02">
              <w:rPr>
                <w:rFonts w:asciiTheme="minorHAnsi" w:eastAsia="Calibri" w:hAnsiTheme="minorHAnsi" w:cs="Arial"/>
                <w:iCs w:val="0"/>
              </w:rPr>
              <w:t>al</w:t>
            </w:r>
            <w:r w:rsidRPr="00136A02">
              <w:rPr>
                <w:rFonts w:asciiTheme="minorHAnsi" w:eastAsia="Calibri" w:hAnsiTheme="minorHAnsi" w:cs="Arial"/>
                <w:iCs w:val="0"/>
              </w:rPr>
              <w:t xml:space="preserve"> to be presented in the review draft report.</w:t>
            </w:r>
          </w:p>
          <w:p w14:paraId="3DCA3490" w14:textId="04D4390A" w:rsidR="00CB560D" w:rsidRPr="00136A02" w:rsidRDefault="00CB560D" w:rsidP="009F1A6F">
            <w:pPr>
              <w:pStyle w:val="ListParagraph"/>
              <w:numPr>
                <w:ilvl w:val="0"/>
                <w:numId w:val="17"/>
              </w:numPr>
              <w:spacing w:before="120"/>
              <w:ind w:left="357" w:hanging="357"/>
              <w:rPr>
                <w:rFonts w:asciiTheme="minorHAnsi" w:eastAsia="Calibri" w:hAnsiTheme="minorHAnsi" w:cs="Arial"/>
                <w:iCs w:val="0"/>
              </w:rPr>
            </w:pPr>
            <w:r w:rsidRPr="00136A02">
              <w:rPr>
                <w:rFonts w:asciiTheme="minorHAnsi" w:eastAsia="Calibri" w:hAnsiTheme="minorHAnsi" w:cs="Arial"/>
                <w:iCs w:val="0"/>
              </w:rPr>
              <w:t xml:space="preserve">Is there a need to </w:t>
            </w:r>
            <w:r w:rsidR="00A65C5D" w:rsidRPr="00136A02">
              <w:rPr>
                <w:rFonts w:asciiTheme="minorHAnsi" w:eastAsia="Calibri" w:hAnsiTheme="minorHAnsi" w:cs="Arial"/>
                <w:iCs w:val="0"/>
              </w:rPr>
              <w:t>apply</w:t>
            </w:r>
            <w:r w:rsidRPr="00136A02">
              <w:rPr>
                <w:rFonts w:asciiTheme="minorHAnsi" w:eastAsia="Calibri" w:hAnsiTheme="minorHAnsi" w:cs="Arial"/>
                <w:iCs w:val="0"/>
              </w:rPr>
              <w:t xml:space="preserve"> different ESS categories for</w:t>
            </w:r>
            <w:r w:rsidR="00A65C5D" w:rsidRPr="00136A02">
              <w:rPr>
                <w:rFonts w:asciiTheme="minorHAnsi" w:eastAsia="Calibri" w:hAnsiTheme="minorHAnsi" w:cs="Arial"/>
                <w:iCs w:val="0"/>
              </w:rPr>
              <w:t xml:space="preserve"> Alice Springs and Tennant Creek than for </w:t>
            </w:r>
            <w:r w:rsidRPr="00136A02">
              <w:rPr>
                <w:rFonts w:asciiTheme="minorHAnsi" w:eastAsia="Calibri" w:hAnsiTheme="minorHAnsi" w:cs="Arial"/>
                <w:iCs w:val="0"/>
              </w:rPr>
              <w:t>the Darwin-Katherine system?</w:t>
            </w:r>
          </w:p>
          <w:p w14:paraId="2C0F4855" w14:textId="77777777" w:rsidR="00CB560D" w:rsidRPr="00136A02" w:rsidRDefault="00CB560D" w:rsidP="009F1A6F">
            <w:pPr>
              <w:pStyle w:val="ListParagraph"/>
              <w:numPr>
                <w:ilvl w:val="0"/>
                <w:numId w:val="17"/>
              </w:numPr>
              <w:spacing w:before="120"/>
              <w:ind w:left="357" w:hanging="357"/>
              <w:rPr>
                <w:rFonts w:asciiTheme="minorHAnsi" w:eastAsia="Calibri" w:hAnsiTheme="minorHAnsi" w:cs="Arial"/>
                <w:iCs w:val="0"/>
              </w:rPr>
            </w:pPr>
            <w:r w:rsidRPr="00136A02">
              <w:rPr>
                <w:rFonts w:asciiTheme="minorHAnsi" w:eastAsia="Calibri" w:hAnsiTheme="minorHAnsi" w:cs="Arial"/>
                <w:iCs w:val="0"/>
              </w:rPr>
              <w:t>Should the Territory’s ESS framework require and empower the System Controller to develop and publish detailed specification/descriptions for each category of ESS? What, if any, regulatory prescription or oversight should apply?</w:t>
            </w:r>
          </w:p>
          <w:p w14:paraId="6156A8C3" w14:textId="52C5AABB" w:rsidR="00CB560D" w:rsidRPr="00136A02" w:rsidRDefault="00CB560D" w:rsidP="009F1A6F">
            <w:pPr>
              <w:pStyle w:val="ListParagraph"/>
              <w:numPr>
                <w:ilvl w:val="0"/>
                <w:numId w:val="17"/>
              </w:numPr>
              <w:spacing w:before="120"/>
              <w:ind w:left="357" w:hanging="357"/>
              <w:rPr>
                <w:rFonts w:asciiTheme="minorHAnsi" w:eastAsia="Calibri" w:hAnsiTheme="minorHAnsi" w:cs="Arial"/>
                <w:iCs w:val="0"/>
              </w:rPr>
            </w:pPr>
            <w:r w:rsidRPr="00136A02">
              <w:rPr>
                <w:rFonts w:asciiTheme="minorHAnsi" w:eastAsia="Calibri" w:hAnsiTheme="minorHAnsi" w:cs="Arial"/>
                <w:iCs w:val="0"/>
              </w:rPr>
              <w:t>Should the ESS framework provide for flexibility for the System Controller to procure other undefined categories of ESS? What, if any, regulatory prescription or oversight should apply?</w:t>
            </w:r>
          </w:p>
          <w:p w14:paraId="54953068" w14:textId="77777777" w:rsidR="00CB560D" w:rsidRPr="00136A02" w:rsidRDefault="00CB560D" w:rsidP="009F1A6F">
            <w:pPr>
              <w:pStyle w:val="ListParagraph"/>
              <w:numPr>
                <w:ilvl w:val="0"/>
                <w:numId w:val="17"/>
              </w:numPr>
              <w:spacing w:before="120"/>
              <w:ind w:left="357" w:hanging="357"/>
              <w:rPr>
                <w:rFonts w:ascii="Arial" w:hAnsi="Arial" w:cs="Arial"/>
              </w:rPr>
            </w:pPr>
            <w:r w:rsidRPr="00136A02">
              <w:rPr>
                <w:rFonts w:asciiTheme="minorHAnsi" w:eastAsia="Calibri" w:hAnsiTheme="minorHAnsi" w:cs="Arial"/>
                <w:iCs w:val="0"/>
              </w:rPr>
              <w:t>What mechanisms are most appropriate for the Territory to preserve inertia and system strength? Should these be defined as ESS? Where would responsibility for their provision more appropriately reside – the Network Operator or the System Controller?</w:t>
            </w:r>
          </w:p>
        </w:tc>
      </w:tr>
      <w:bookmarkEnd w:id="13"/>
    </w:tbl>
    <w:p w14:paraId="0D2EE9C9" w14:textId="77777777" w:rsidR="00CB560D" w:rsidRDefault="00CB560D" w:rsidP="00CB560D">
      <w:pPr>
        <w:rPr>
          <w:rFonts w:ascii="Arial" w:hAnsi="Arial" w:cs="Arial"/>
        </w:rPr>
      </w:pPr>
      <w:r>
        <w:rPr>
          <w:rFonts w:ascii="Arial" w:hAnsi="Arial" w:cs="Arial"/>
        </w:rPr>
        <w:br w:type="page"/>
      </w:r>
    </w:p>
    <w:p w14:paraId="5BCB8BE0" w14:textId="0433B748" w:rsidR="00CB560D" w:rsidRPr="00CB560D" w:rsidRDefault="00CB560D" w:rsidP="00CB560D">
      <w:pPr>
        <w:pStyle w:val="Heading1"/>
        <w:rPr>
          <w:lang w:eastAsia="en-AU"/>
        </w:rPr>
      </w:pPr>
      <w:bookmarkStart w:id="14" w:name="_Toc42779157"/>
      <w:r w:rsidRPr="00CB560D">
        <w:rPr>
          <w:lang w:eastAsia="en-AU"/>
        </w:rPr>
        <w:lastRenderedPageBreak/>
        <w:t xml:space="preserve">Service </w:t>
      </w:r>
      <w:r w:rsidR="00146454">
        <w:rPr>
          <w:lang w:eastAsia="en-AU"/>
        </w:rPr>
        <w:t>r</w:t>
      </w:r>
      <w:r w:rsidRPr="00CB560D">
        <w:rPr>
          <w:lang w:eastAsia="en-AU"/>
        </w:rPr>
        <w:t>equirements</w:t>
      </w:r>
      <w:bookmarkEnd w:id="14"/>
    </w:p>
    <w:p w14:paraId="2AC1F1A2" w14:textId="77777777" w:rsidR="00CB560D" w:rsidRPr="002F64A1" w:rsidRDefault="00CB560D" w:rsidP="00CB560D">
      <w:pPr>
        <w:rPr>
          <w:rFonts w:asciiTheme="minorHAnsi" w:hAnsiTheme="minorHAnsi" w:cs="Arial"/>
        </w:rPr>
      </w:pPr>
      <w:r w:rsidRPr="002F64A1">
        <w:rPr>
          <w:rFonts w:asciiTheme="minorHAnsi" w:hAnsiTheme="minorHAnsi" w:cs="Arial"/>
        </w:rPr>
        <w:t>Once the services are categorised and defined, it will be possible to more accurately determine combinations and levels of ESS required to meet the system need.</w:t>
      </w:r>
    </w:p>
    <w:p w14:paraId="6D5FA4D9" w14:textId="77777777" w:rsidR="00CB560D" w:rsidRPr="002F64A1" w:rsidRDefault="00CB560D" w:rsidP="00CB560D">
      <w:pPr>
        <w:rPr>
          <w:rFonts w:asciiTheme="minorHAnsi" w:hAnsiTheme="minorHAnsi" w:cs="Arial"/>
        </w:rPr>
      </w:pPr>
      <w:r w:rsidRPr="002F64A1">
        <w:rPr>
          <w:rFonts w:asciiTheme="minorHAnsi" w:hAnsiTheme="minorHAnsi" w:cs="Arial"/>
        </w:rPr>
        <w:t>Further, it will be desirable for long-term efficiency of ESS procurement and provision to forecast the future need for individual ESS over a longer horizon (relative to real-time).</w:t>
      </w:r>
    </w:p>
    <w:p w14:paraId="0944003D" w14:textId="77777777" w:rsidR="00CB560D" w:rsidRPr="00CB560D" w:rsidRDefault="00CB560D" w:rsidP="00CB560D">
      <w:pPr>
        <w:pStyle w:val="Heading2"/>
        <w:keepNext/>
        <w:rPr>
          <w:lang w:eastAsia="en-AU"/>
        </w:rPr>
      </w:pPr>
      <w:bookmarkStart w:id="15" w:name="_Toc42779158"/>
      <w:r w:rsidRPr="00CB560D">
        <w:rPr>
          <w:lang w:eastAsia="en-AU"/>
        </w:rPr>
        <w:t>Current arrangements</w:t>
      </w:r>
      <w:bookmarkEnd w:id="15"/>
    </w:p>
    <w:p w14:paraId="10C9CAC0" w14:textId="77777777" w:rsidR="00CB560D" w:rsidRPr="002F64A1" w:rsidRDefault="00CB560D" w:rsidP="00CB560D">
      <w:pPr>
        <w:rPr>
          <w:rFonts w:asciiTheme="minorHAnsi" w:hAnsiTheme="minorHAnsi" w:cs="Arial"/>
        </w:rPr>
      </w:pPr>
      <w:r w:rsidRPr="002F64A1">
        <w:rPr>
          <w:rFonts w:asciiTheme="minorHAnsi" w:hAnsiTheme="minorHAnsi" w:cs="Arial"/>
        </w:rPr>
        <w:t>ESS requirements in the Territory’s regulated electricity systems are determined by the System Controller in the context of a mix of system standards and service standards.</w:t>
      </w:r>
    </w:p>
    <w:p w14:paraId="2873F022" w14:textId="77777777" w:rsidR="00CB560D" w:rsidRPr="002F64A1" w:rsidRDefault="00CB560D" w:rsidP="00CB560D">
      <w:pPr>
        <w:rPr>
          <w:rFonts w:asciiTheme="minorHAnsi" w:hAnsiTheme="minorHAnsi" w:cs="Arial"/>
        </w:rPr>
      </w:pPr>
      <w:r w:rsidRPr="002F64A1">
        <w:rPr>
          <w:rFonts w:asciiTheme="minorHAnsi" w:hAnsiTheme="minorHAnsi" w:cs="Arial"/>
        </w:rPr>
        <w:t>There is no requirement in the technical codes for the System Controller to publish information about the ESS dispatched or to forecast ESS requirements.</w:t>
      </w:r>
    </w:p>
    <w:p w14:paraId="02D00DAA" w14:textId="77777777" w:rsidR="00CB560D" w:rsidRPr="002F64A1" w:rsidRDefault="00CB560D" w:rsidP="00BE0579">
      <w:pPr>
        <w:pStyle w:val="Heading3"/>
      </w:pPr>
      <w:r w:rsidRPr="002F64A1">
        <w:t>System standards</w:t>
      </w:r>
    </w:p>
    <w:p w14:paraId="02A8E6E9" w14:textId="77777777" w:rsidR="00CB560D" w:rsidRPr="002F64A1" w:rsidRDefault="00CB560D" w:rsidP="00CB560D">
      <w:pPr>
        <w:rPr>
          <w:rFonts w:asciiTheme="minorHAnsi" w:hAnsiTheme="minorHAnsi" w:cs="Arial"/>
        </w:rPr>
      </w:pPr>
      <w:r w:rsidRPr="002F64A1">
        <w:rPr>
          <w:rFonts w:asciiTheme="minorHAnsi" w:hAnsiTheme="minorHAnsi" w:cs="Arial"/>
        </w:rPr>
        <w:t xml:space="preserve">System standards define the technical parameters for the Territory’s regulated electricity systems. </w:t>
      </w:r>
    </w:p>
    <w:p w14:paraId="24AF3C4F" w14:textId="77777777" w:rsidR="00CB560D" w:rsidRPr="002F64A1" w:rsidRDefault="00CB560D" w:rsidP="00CB560D">
      <w:pPr>
        <w:rPr>
          <w:rFonts w:asciiTheme="minorHAnsi" w:hAnsiTheme="minorHAnsi" w:cs="Arial"/>
        </w:rPr>
      </w:pPr>
      <w:r w:rsidRPr="002F64A1">
        <w:rPr>
          <w:rFonts w:asciiTheme="minorHAnsi" w:hAnsiTheme="minorHAnsi" w:cs="Arial"/>
        </w:rPr>
        <w:t>The SCTC requires the System Controller to arrange the required ancillary services to maintain power system security, defined as:</w:t>
      </w:r>
      <w:r w:rsidRPr="002F64A1">
        <w:rPr>
          <w:rFonts w:asciiTheme="minorHAnsi" w:hAnsiTheme="minorHAnsi"/>
          <w:vertAlign w:val="superscript"/>
        </w:rPr>
        <w:footnoteReference w:id="14"/>
      </w:r>
    </w:p>
    <w:p w14:paraId="71A96DFF" w14:textId="77777777" w:rsidR="00CB560D" w:rsidRPr="009F1A6F" w:rsidRDefault="00CB560D" w:rsidP="009F1A6F">
      <w:pPr>
        <w:pStyle w:val="ListParagraph"/>
        <w:numPr>
          <w:ilvl w:val="0"/>
          <w:numId w:val="12"/>
        </w:numPr>
        <w:spacing w:before="200"/>
        <w:ind w:left="426"/>
        <w:rPr>
          <w:rFonts w:cs="Arial"/>
        </w:rPr>
      </w:pPr>
      <w:r w:rsidRPr="009F1A6F">
        <w:rPr>
          <w:rFonts w:cs="Arial"/>
        </w:rPr>
        <w:t>maintenance of an adequate power system frequency</w:t>
      </w:r>
    </w:p>
    <w:p w14:paraId="0BEDB6E4" w14:textId="77777777" w:rsidR="00CB560D" w:rsidRPr="009F1A6F" w:rsidRDefault="00CB560D" w:rsidP="009F1A6F">
      <w:pPr>
        <w:pStyle w:val="ListParagraph"/>
        <w:numPr>
          <w:ilvl w:val="0"/>
          <w:numId w:val="12"/>
        </w:numPr>
        <w:spacing w:before="200"/>
        <w:ind w:left="426"/>
        <w:rPr>
          <w:rFonts w:cs="Arial"/>
        </w:rPr>
      </w:pPr>
      <w:r w:rsidRPr="009F1A6F">
        <w:rPr>
          <w:rFonts w:cs="Arial"/>
        </w:rPr>
        <w:t>maintaining power system voltages within the declared standards and limits</w:t>
      </w:r>
    </w:p>
    <w:p w14:paraId="398E07FE" w14:textId="77777777" w:rsidR="00CB560D" w:rsidRPr="009F1A6F" w:rsidRDefault="00CB560D" w:rsidP="009F1A6F">
      <w:pPr>
        <w:pStyle w:val="ListParagraph"/>
        <w:numPr>
          <w:ilvl w:val="0"/>
          <w:numId w:val="12"/>
        </w:numPr>
        <w:spacing w:before="200"/>
        <w:ind w:left="426"/>
        <w:rPr>
          <w:rFonts w:cs="Arial"/>
        </w:rPr>
      </w:pPr>
      <w:r w:rsidRPr="009F1A6F">
        <w:rPr>
          <w:rFonts w:cs="Arial"/>
        </w:rPr>
        <w:t>maintaining the stability of a power system</w:t>
      </w:r>
    </w:p>
    <w:p w14:paraId="18D579D6" w14:textId="77777777" w:rsidR="00CB560D" w:rsidRPr="009F1A6F" w:rsidRDefault="00CB560D" w:rsidP="009F1A6F">
      <w:pPr>
        <w:pStyle w:val="ListParagraph"/>
        <w:numPr>
          <w:ilvl w:val="0"/>
          <w:numId w:val="12"/>
        </w:numPr>
        <w:spacing w:before="200"/>
        <w:ind w:left="426"/>
        <w:rPr>
          <w:rFonts w:cs="Arial"/>
        </w:rPr>
      </w:pPr>
      <w:r w:rsidRPr="009F1A6F">
        <w:rPr>
          <w:rFonts w:cs="Arial"/>
        </w:rPr>
        <w:t>ensuring that under credible contingency events, that the components of a power system are not overloaded</w:t>
      </w:r>
    </w:p>
    <w:p w14:paraId="50AFC30F" w14:textId="77777777" w:rsidR="00CB560D" w:rsidRPr="009F1A6F" w:rsidRDefault="00CB560D" w:rsidP="009F1A6F">
      <w:pPr>
        <w:pStyle w:val="ListParagraph"/>
        <w:numPr>
          <w:ilvl w:val="0"/>
          <w:numId w:val="12"/>
        </w:numPr>
        <w:spacing w:before="200"/>
        <w:ind w:left="426"/>
        <w:rPr>
          <w:rFonts w:cs="Arial"/>
        </w:rPr>
      </w:pPr>
      <w:proofErr w:type="gramStart"/>
      <w:r w:rsidRPr="009F1A6F">
        <w:rPr>
          <w:rFonts w:cs="Arial"/>
        </w:rPr>
        <w:t>carrying</w:t>
      </w:r>
      <w:proofErr w:type="gramEnd"/>
      <w:r w:rsidRPr="009F1A6F">
        <w:rPr>
          <w:rFonts w:cs="Arial"/>
        </w:rPr>
        <w:t xml:space="preserve"> out all appropriate actions to restore a power system to a secure condition following either a minor or major disruptive event.</w:t>
      </w:r>
    </w:p>
    <w:p w14:paraId="01DAF8C2" w14:textId="77777777" w:rsidR="00CB560D" w:rsidRPr="002F64A1" w:rsidRDefault="00CB560D" w:rsidP="00CB560D">
      <w:pPr>
        <w:rPr>
          <w:rFonts w:asciiTheme="minorHAnsi" w:hAnsiTheme="minorHAnsi" w:cs="Arial"/>
        </w:rPr>
      </w:pPr>
      <w:r w:rsidRPr="002F64A1">
        <w:rPr>
          <w:rFonts w:asciiTheme="minorHAnsi" w:hAnsiTheme="minorHAnsi" w:cs="Arial"/>
        </w:rPr>
        <w:t>The SSG defines the technical levels of frequency and voltage that are deemed to be adequate.</w:t>
      </w:r>
      <w:r w:rsidR="00FB5318">
        <w:rPr>
          <w:rStyle w:val="FootnoteReference"/>
          <w:rFonts w:asciiTheme="minorHAnsi" w:hAnsiTheme="minorHAnsi" w:cs="Arial"/>
        </w:rPr>
        <w:footnoteReference w:id="15"/>
      </w:r>
    </w:p>
    <w:p w14:paraId="4885E9F1" w14:textId="77777777" w:rsidR="00CB560D" w:rsidRPr="009F1A6F" w:rsidRDefault="00CB560D" w:rsidP="00BE0579">
      <w:pPr>
        <w:pStyle w:val="Heading3"/>
      </w:pPr>
      <w:r w:rsidRPr="009F1A6F">
        <w:t>Service standards</w:t>
      </w:r>
    </w:p>
    <w:p w14:paraId="546C969F" w14:textId="77777777" w:rsidR="00CB560D" w:rsidRPr="002F64A1" w:rsidRDefault="00CB560D" w:rsidP="00CB560D">
      <w:pPr>
        <w:rPr>
          <w:rFonts w:asciiTheme="minorHAnsi" w:hAnsiTheme="minorHAnsi" w:cs="Arial"/>
        </w:rPr>
      </w:pPr>
      <w:r w:rsidRPr="002F64A1">
        <w:rPr>
          <w:rFonts w:asciiTheme="minorHAnsi" w:hAnsiTheme="minorHAnsi" w:cs="Arial"/>
        </w:rPr>
        <w:t>In the Territory’s regulated electricity systems, standards for the provision of ESS serve as a guide for system participants regarding service requirements to maintain the system within the system standards.</w:t>
      </w:r>
    </w:p>
    <w:p w14:paraId="64DB3AF6" w14:textId="4559BD6D" w:rsidR="00CB560D" w:rsidRPr="00DF4E9E" w:rsidRDefault="006C581F" w:rsidP="00CB560D">
      <w:pPr>
        <w:rPr>
          <w:rFonts w:asciiTheme="minorHAnsi" w:hAnsiTheme="minorHAnsi" w:cs="Arial"/>
        </w:rPr>
      </w:pPr>
      <w:r w:rsidRPr="008218E4">
        <w:rPr>
          <w:rFonts w:asciiTheme="minorHAnsi" w:hAnsiTheme="minorHAnsi" w:cs="Arial"/>
        </w:rPr>
        <w:t>T</w:t>
      </w:r>
      <w:r w:rsidR="00CB560D" w:rsidRPr="00DF4E9E">
        <w:rPr>
          <w:rFonts w:asciiTheme="minorHAnsi" w:hAnsiTheme="minorHAnsi" w:cs="Arial"/>
        </w:rPr>
        <w:t xml:space="preserve">he SSG outlines minimum Service Standards for </w:t>
      </w:r>
      <w:r w:rsidR="00EE6B77" w:rsidRPr="008218E4">
        <w:rPr>
          <w:rFonts w:asciiTheme="minorHAnsi" w:hAnsiTheme="minorHAnsi" w:cs="Arial"/>
        </w:rPr>
        <w:t>Regulating R</w:t>
      </w:r>
      <w:r w:rsidR="00381443" w:rsidRPr="00DF4E9E">
        <w:rPr>
          <w:rFonts w:asciiTheme="minorHAnsi" w:hAnsiTheme="minorHAnsi" w:cs="Arial"/>
        </w:rPr>
        <w:t>eserve</w:t>
      </w:r>
      <w:r w:rsidR="003B0B44" w:rsidRPr="008218E4">
        <w:rPr>
          <w:rFonts w:asciiTheme="minorHAnsi" w:hAnsiTheme="minorHAnsi" w:cs="Arial"/>
        </w:rPr>
        <w:t xml:space="preserve"> (R-FCAS)</w:t>
      </w:r>
      <w:r w:rsidR="00381443" w:rsidRPr="00DF4E9E">
        <w:rPr>
          <w:rFonts w:asciiTheme="minorHAnsi" w:hAnsiTheme="minorHAnsi" w:cs="Arial"/>
        </w:rPr>
        <w:t xml:space="preserve"> and contingency </w:t>
      </w:r>
      <w:r w:rsidR="00EE6B77" w:rsidRPr="008218E4">
        <w:rPr>
          <w:rFonts w:asciiTheme="minorHAnsi" w:hAnsiTheme="minorHAnsi" w:cs="Arial"/>
        </w:rPr>
        <w:t>Spinning R</w:t>
      </w:r>
      <w:r w:rsidR="00381443" w:rsidRPr="00DF4E9E">
        <w:rPr>
          <w:rFonts w:asciiTheme="minorHAnsi" w:hAnsiTheme="minorHAnsi" w:cs="Arial"/>
        </w:rPr>
        <w:t>eserve</w:t>
      </w:r>
      <w:r w:rsidR="00CB560D" w:rsidRPr="00DF4E9E">
        <w:rPr>
          <w:rFonts w:asciiTheme="minorHAnsi" w:hAnsiTheme="minorHAnsi" w:cs="Arial"/>
        </w:rPr>
        <w:t xml:space="preserve"> for each of the Territory’s three regulated electricity systems as follows</w:t>
      </w:r>
      <w:r w:rsidR="00320A0D">
        <w:rPr>
          <w:rFonts w:asciiTheme="minorHAnsi" w:hAnsiTheme="minorHAnsi" w:cs="Arial"/>
        </w:rPr>
        <w:t>.</w:t>
      </w:r>
    </w:p>
    <w:p w14:paraId="4971CA1B" w14:textId="1CE61C7A" w:rsidR="00CB560D" w:rsidRPr="00DF4E9E" w:rsidRDefault="00CB560D" w:rsidP="009F1A6F">
      <w:pPr>
        <w:pStyle w:val="ListParagraph"/>
        <w:numPr>
          <w:ilvl w:val="0"/>
          <w:numId w:val="12"/>
        </w:numPr>
        <w:spacing w:before="200"/>
        <w:ind w:left="426"/>
        <w:rPr>
          <w:rFonts w:cs="Arial"/>
        </w:rPr>
      </w:pPr>
      <w:r w:rsidRPr="00DF4E9E">
        <w:rPr>
          <w:rFonts w:cs="Arial"/>
        </w:rPr>
        <w:t>Darwin</w:t>
      </w:r>
      <w:r w:rsidRPr="00DF4E9E">
        <w:rPr>
          <w:rFonts w:cs="Arial"/>
        </w:rPr>
        <w:noBreakHyphen/>
        <w:t xml:space="preserve">Katherine – </w:t>
      </w:r>
      <w:r w:rsidR="006C581F" w:rsidRPr="008218E4">
        <w:rPr>
          <w:rFonts w:cs="Arial"/>
        </w:rPr>
        <w:t xml:space="preserve">minimum </w:t>
      </w:r>
      <w:r w:rsidR="00EE6B77" w:rsidRPr="008218E4">
        <w:rPr>
          <w:rFonts w:cs="Arial"/>
        </w:rPr>
        <w:t>Regulating Reserve</w:t>
      </w:r>
      <w:r w:rsidR="006C581F" w:rsidRPr="008218E4">
        <w:rPr>
          <w:rFonts w:cs="Arial"/>
        </w:rPr>
        <w:t xml:space="preserve"> equivalent to the larger of 5</w:t>
      </w:r>
      <w:r w:rsidR="00320A0D">
        <w:rPr>
          <w:rFonts w:cs="Arial"/>
        </w:rPr>
        <w:t xml:space="preserve"> megawatts</w:t>
      </w:r>
      <w:r w:rsidR="006C581F" w:rsidRPr="008218E4">
        <w:rPr>
          <w:rFonts w:cs="Arial"/>
        </w:rPr>
        <w:t xml:space="preserve"> </w:t>
      </w:r>
      <w:r w:rsidR="00320A0D">
        <w:rPr>
          <w:rFonts w:cs="Arial"/>
        </w:rPr>
        <w:t>(</w:t>
      </w:r>
      <w:r w:rsidR="006C581F" w:rsidRPr="008218E4">
        <w:rPr>
          <w:rFonts w:cs="Arial"/>
        </w:rPr>
        <w:t>MW</w:t>
      </w:r>
      <w:r w:rsidR="00320A0D">
        <w:rPr>
          <w:rFonts w:cs="Arial"/>
        </w:rPr>
        <w:t>)</w:t>
      </w:r>
      <w:r w:rsidR="006C581F" w:rsidRPr="008218E4">
        <w:rPr>
          <w:rFonts w:cs="Arial"/>
        </w:rPr>
        <w:t xml:space="preserve"> or anticipated change</w:t>
      </w:r>
      <w:r w:rsidR="00320A0D" w:rsidRPr="00320A0D">
        <w:rPr>
          <w:rFonts w:cs="Arial"/>
        </w:rPr>
        <w:t xml:space="preserve"> in system load</w:t>
      </w:r>
      <w:r w:rsidR="00034A8D" w:rsidRPr="008218E4">
        <w:rPr>
          <w:rFonts w:cs="Arial"/>
        </w:rPr>
        <w:t xml:space="preserve"> over 30 minutes</w:t>
      </w:r>
      <w:r w:rsidR="00320A0D">
        <w:rPr>
          <w:rFonts w:cs="Arial"/>
        </w:rPr>
        <w:t>;</w:t>
      </w:r>
      <w:r w:rsidR="00034A8D" w:rsidRPr="008218E4">
        <w:rPr>
          <w:rFonts w:cs="Arial"/>
        </w:rPr>
        <w:t xml:space="preserve"> </w:t>
      </w:r>
      <w:r w:rsidR="00EE6B77" w:rsidRPr="008218E4">
        <w:rPr>
          <w:rFonts w:cs="Arial"/>
        </w:rPr>
        <w:t xml:space="preserve">and </w:t>
      </w:r>
      <w:r w:rsidR="006C581F" w:rsidRPr="008218E4">
        <w:rPr>
          <w:rFonts w:cs="Arial"/>
        </w:rPr>
        <w:t xml:space="preserve">minimum </w:t>
      </w:r>
      <w:r w:rsidR="00EE6B77" w:rsidRPr="008218E4">
        <w:rPr>
          <w:rFonts w:cs="Arial"/>
        </w:rPr>
        <w:t>contingency S</w:t>
      </w:r>
      <w:r w:rsidRPr="00DF4E9E">
        <w:rPr>
          <w:rFonts w:cs="Arial"/>
        </w:rPr>
        <w:t xml:space="preserve">pinning </w:t>
      </w:r>
      <w:r w:rsidR="00EE6B77" w:rsidRPr="008218E4">
        <w:rPr>
          <w:rFonts w:cs="Arial"/>
        </w:rPr>
        <w:t>R</w:t>
      </w:r>
      <w:r w:rsidRPr="00DF4E9E">
        <w:rPr>
          <w:rFonts w:cs="Arial"/>
        </w:rPr>
        <w:t>eserve at all time</w:t>
      </w:r>
      <w:r w:rsidR="00FB5318" w:rsidRPr="00DF4E9E">
        <w:rPr>
          <w:rFonts w:cs="Arial"/>
        </w:rPr>
        <w:t>s</w:t>
      </w:r>
      <w:r w:rsidR="006C581F" w:rsidRPr="008218E4">
        <w:rPr>
          <w:rFonts w:cs="Arial"/>
        </w:rPr>
        <w:t xml:space="preserve"> of 25 MW</w:t>
      </w:r>
      <w:r w:rsidRPr="00DF4E9E">
        <w:rPr>
          <w:rFonts w:cs="Arial"/>
        </w:rPr>
        <w:t>, including a minimum of two Frame 6 machines</w:t>
      </w:r>
      <w:r w:rsidR="00320A0D">
        <w:rPr>
          <w:rFonts w:cs="Arial"/>
        </w:rPr>
        <w:t>.</w:t>
      </w:r>
    </w:p>
    <w:p w14:paraId="2D634660" w14:textId="05E62FF1" w:rsidR="00CB560D" w:rsidRPr="00DF4E9E" w:rsidRDefault="00CB560D" w:rsidP="009F1A6F">
      <w:pPr>
        <w:pStyle w:val="ListParagraph"/>
        <w:numPr>
          <w:ilvl w:val="0"/>
          <w:numId w:val="12"/>
        </w:numPr>
        <w:spacing w:before="200"/>
        <w:ind w:left="426"/>
        <w:rPr>
          <w:rFonts w:cs="Arial"/>
        </w:rPr>
      </w:pPr>
      <w:r w:rsidRPr="00DF4E9E">
        <w:rPr>
          <w:rFonts w:cs="Arial"/>
        </w:rPr>
        <w:lastRenderedPageBreak/>
        <w:t>Alice Springs –</w:t>
      </w:r>
      <w:r w:rsidR="006C581F" w:rsidRPr="008218E4">
        <w:rPr>
          <w:rFonts w:cs="Arial"/>
        </w:rPr>
        <w:t xml:space="preserve"> minimum Regulating Reserve equivalent to the larger of </w:t>
      </w:r>
      <w:r w:rsidR="00034A8D" w:rsidRPr="008218E4">
        <w:rPr>
          <w:rFonts w:cs="Arial"/>
        </w:rPr>
        <w:t>2</w:t>
      </w:r>
      <w:r w:rsidR="006C581F" w:rsidRPr="008218E4">
        <w:rPr>
          <w:rFonts w:cs="Arial"/>
        </w:rPr>
        <w:t xml:space="preserve"> MW or anti</w:t>
      </w:r>
      <w:r w:rsidR="00320A0D" w:rsidRPr="00320A0D">
        <w:rPr>
          <w:rFonts w:cs="Arial"/>
        </w:rPr>
        <w:t>cipated change in system load</w:t>
      </w:r>
      <w:r w:rsidR="00034A8D" w:rsidRPr="008218E4">
        <w:rPr>
          <w:rFonts w:cs="Arial"/>
        </w:rPr>
        <w:t xml:space="preserve"> over 10 minutes</w:t>
      </w:r>
      <w:r w:rsidR="00320A0D">
        <w:rPr>
          <w:rFonts w:cs="Arial"/>
        </w:rPr>
        <w:t>;</w:t>
      </w:r>
      <w:r w:rsidR="00034A8D" w:rsidRPr="008218E4">
        <w:rPr>
          <w:rFonts w:cs="Arial"/>
        </w:rPr>
        <w:t xml:space="preserve"> </w:t>
      </w:r>
      <w:r w:rsidR="006C581F" w:rsidRPr="008218E4">
        <w:rPr>
          <w:rFonts w:cs="Arial"/>
        </w:rPr>
        <w:t xml:space="preserve">and minimum </w:t>
      </w:r>
      <w:r w:rsidR="00034A8D" w:rsidRPr="008218E4">
        <w:rPr>
          <w:rFonts w:cs="Arial"/>
        </w:rPr>
        <w:t>contingency</w:t>
      </w:r>
      <w:r w:rsidR="006C581F" w:rsidRPr="008218E4">
        <w:rPr>
          <w:rFonts w:cs="Arial"/>
        </w:rPr>
        <w:t xml:space="preserve"> </w:t>
      </w:r>
      <w:r w:rsidR="00EE6B77" w:rsidRPr="008218E4">
        <w:rPr>
          <w:rFonts w:cs="Arial"/>
        </w:rPr>
        <w:t>Spinning Reserve</w:t>
      </w:r>
      <w:r w:rsidRPr="00DF4E9E">
        <w:rPr>
          <w:rFonts w:cs="Arial"/>
        </w:rPr>
        <w:t xml:space="preserve"> </w:t>
      </w:r>
      <w:r w:rsidR="00034A8D" w:rsidRPr="008218E4">
        <w:rPr>
          <w:rFonts w:cs="Arial"/>
        </w:rPr>
        <w:t>of the larger of either 8</w:t>
      </w:r>
      <w:r w:rsidR="00320A0D">
        <w:rPr>
          <w:rFonts w:cs="Arial"/>
        </w:rPr>
        <w:t> </w:t>
      </w:r>
      <w:r w:rsidR="00034A8D" w:rsidRPr="008218E4">
        <w:rPr>
          <w:rFonts w:cs="Arial"/>
        </w:rPr>
        <w:t xml:space="preserve">MW </w:t>
      </w:r>
      <w:r w:rsidRPr="00DF4E9E">
        <w:rPr>
          <w:rFonts w:cs="Arial"/>
        </w:rPr>
        <w:t>during the day</w:t>
      </w:r>
      <w:r w:rsidR="00034A8D" w:rsidRPr="008218E4">
        <w:rPr>
          <w:rFonts w:cs="Arial"/>
        </w:rPr>
        <w:t xml:space="preserve"> or</w:t>
      </w:r>
      <w:r w:rsidRPr="00DF4E9E">
        <w:rPr>
          <w:rFonts w:cs="Arial"/>
        </w:rPr>
        <w:t xml:space="preserve"> 5MW at night </w:t>
      </w:r>
      <w:r w:rsidR="00034A8D" w:rsidRPr="008218E4">
        <w:rPr>
          <w:rFonts w:cs="Arial"/>
        </w:rPr>
        <w:t>or</w:t>
      </w:r>
      <w:r w:rsidRPr="00DF4E9E">
        <w:rPr>
          <w:rFonts w:cs="Arial"/>
        </w:rPr>
        <w:t xml:space="preserve"> the largest machine’s output in</w:t>
      </w:r>
      <w:r w:rsidR="00FB5318" w:rsidRPr="00DF4E9E">
        <w:rPr>
          <w:rFonts w:cs="Arial"/>
        </w:rPr>
        <w:t> </w:t>
      </w:r>
      <w:r w:rsidRPr="00DF4E9E">
        <w:rPr>
          <w:rFonts w:cs="Arial"/>
        </w:rPr>
        <w:t>MW</w:t>
      </w:r>
      <w:r w:rsidR="00320A0D">
        <w:rPr>
          <w:rFonts w:cs="Arial"/>
        </w:rPr>
        <w:t>.</w:t>
      </w:r>
    </w:p>
    <w:p w14:paraId="548F9F2D" w14:textId="5E6BB025" w:rsidR="00CB560D" w:rsidRPr="00DF4E9E" w:rsidRDefault="00CB560D" w:rsidP="009F1A6F">
      <w:pPr>
        <w:pStyle w:val="ListParagraph"/>
        <w:numPr>
          <w:ilvl w:val="0"/>
          <w:numId w:val="12"/>
        </w:numPr>
        <w:spacing w:before="200"/>
        <w:ind w:left="426"/>
        <w:rPr>
          <w:rFonts w:cs="Arial"/>
        </w:rPr>
      </w:pPr>
      <w:r w:rsidRPr="00DF4E9E">
        <w:rPr>
          <w:rFonts w:cs="Arial"/>
        </w:rPr>
        <w:t>Tennant Creek –</w:t>
      </w:r>
      <w:r w:rsidR="00320A0D">
        <w:rPr>
          <w:rFonts w:cs="Arial"/>
        </w:rPr>
        <w:t xml:space="preserve"> </w:t>
      </w:r>
      <w:r w:rsidR="00034A8D" w:rsidRPr="008218E4">
        <w:rPr>
          <w:rFonts w:cs="Arial"/>
        </w:rPr>
        <w:t xml:space="preserve">minimum </w:t>
      </w:r>
      <w:r w:rsidR="00EE6B77" w:rsidRPr="008218E4">
        <w:rPr>
          <w:rFonts w:cs="Arial"/>
        </w:rPr>
        <w:t>Regulating Reserve</w:t>
      </w:r>
      <w:r w:rsidR="00034A8D" w:rsidRPr="008218E4">
        <w:rPr>
          <w:rFonts w:cs="Arial"/>
        </w:rPr>
        <w:t xml:space="preserve"> equivalent to the larger of 0.5 MW or anticipated change in </w:t>
      </w:r>
      <w:r w:rsidR="00320A0D">
        <w:rPr>
          <w:rFonts w:cs="Arial"/>
        </w:rPr>
        <w:t>system load</w:t>
      </w:r>
      <w:r w:rsidR="00034A8D" w:rsidRPr="008218E4">
        <w:rPr>
          <w:rFonts w:cs="Arial"/>
        </w:rPr>
        <w:t xml:space="preserve"> over 10 minutes</w:t>
      </w:r>
      <w:r w:rsidR="00320A0D">
        <w:rPr>
          <w:rFonts w:cs="Arial"/>
        </w:rPr>
        <w:t>;</w:t>
      </w:r>
      <w:r w:rsidR="00034A8D" w:rsidRPr="008218E4">
        <w:rPr>
          <w:rFonts w:cs="Arial"/>
        </w:rPr>
        <w:t xml:space="preserve"> </w:t>
      </w:r>
      <w:r w:rsidR="00EE6B77" w:rsidRPr="008218E4">
        <w:rPr>
          <w:rFonts w:cs="Arial"/>
        </w:rPr>
        <w:t>and</w:t>
      </w:r>
      <w:r w:rsidR="00034A8D" w:rsidRPr="008218E4">
        <w:rPr>
          <w:rFonts w:cs="Arial"/>
        </w:rPr>
        <w:t xml:space="preserve"> minimum</w:t>
      </w:r>
      <w:r w:rsidR="00EE6B77" w:rsidRPr="008218E4">
        <w:rPr>
          <w:rFonts w:cs="Arial"/>
        </w:rPr>
        <w:t xml:space="preserve"> contingency Spinning Reserve</w:t>
      </w:r>
      <w:r w:rsidR="00034A8D" w:rsidRPr="008218E4">
        <w:rPr>
          <w:rFonts w:cs="Arial"/>
        </w:rPr>
        <w:t xml:space="preserve"> of</w:t>
      </w:r>
      <w:r w:rsidRPr="00DF4E9E">
        <w:rPr>
          <w:rFonts w:cs="Arial"/>
        </w:rPr>
        <w:t xml:space="preserve"> </w:t>
      </w:r>
      <w:r w:rsidR="00034A8D" w:rsidRPr="008218E4">
        <w:rPr>
          <w:rFonts w:cs="Arial"/>
        </w:rPr>
        <w:t xml:space="preserve">0.8 MW </w:t>
      </w:r>
      <w:r w:rsidRPr="00DF4E9E">
        <w:rPr>
          <w:rFonts w:cs="Arial"/>
        </w:rPr>
        <w:t>at all times.</w:t>
      </w:r>
    </w:p>
    <w:p w14:paraId="24DA5412" w14:textId="4E255F90" w:rsidR="00CB560D" w:rsidRPr="002F64A1" w:rsidRDefault="00CB560D" w:rsidP="00CB560D">
      <w:pPr>
        <w:rPr>
          <w:rFonts w:asciiTheme="minorHAnsi" w:hAnsiTheme="minorHAnsi" w:cs="Arial"/>
        </w:rPr>
      </w:pPr>
      <w:r w:rsidRPr="00DF4E9E">
        <w:rPr>
          <w:rFonts w:asciiTheme="minorHAnsi" w:hAnsiTheme="minorHAnsi" w:cs="Arial"/>
        </w:rPr>
        <w:t xml:space="preserve">In practice, the System Controller maintains higher </w:t>
      </w:r>
      <w:r w:rsidR="006C581F" w:rsidRPr="008218E4">
        <w:rPr>
          <w:rFonts w:asciiTheme="minorHAnsi" w:hAnsiTheme="minorHAnsi" w:cs="Arial"/>
        </w:rPr>
        <w:t>combined levels of Regulating Reserve</w:t>
      </w:r>
      <w:r w:rsidR="001179DA" w:rsidRPr="008218E4">
        <w:rPr>
          <w:rFonts w:asciiTheme="minorHAnsi" w:hAnsiTheme="minorHAnsi" w:cs="Arial"/>
        </w:rPr>
        <w:t xml:space="preserve"> </w:t>
      </w:r>
      <w:r w:rsidR="006C581F" w:rsidRPr="008218E4">
        <w:rPr>
          <w:rFonts w:asciiTheme="minorHAnsi" w:hAnsiTheme="minorHAnsi" w:cs="Arial"/>
        </w:rPr>
        <w:t xml:space="preserve">and contingency </w:t>
      </w:r>
      <w:r w:rsidRPr="00DF4E9E">
        <w:rPr>
          <w:rFonts w:asciiTheme="minorHAnsi" w:hAnsiTheme="minorHAnsi" w:cs="Arial"/>
        </w:rPr>
        <w:t xml:space="preserve">Spinning Reserve </w:t>
      </w:r>
      <w:r w:rsidR="001179DA" w:rsidRPr="008218E4">
        <w:rPr>
          <w:rFonts w:asciiTheme="minorHAnsi" w:hAnsiTheme="minorHAnsi" w:cs="Arial"/>
        </w:rPr>
        <w:t xml:space="preserve">in the Darwin-Katherine system </w:t>
      </w:r>
      <w:r w:rsidRPr="00DF4E9E">
        <w:rPr>
          <w:rFonts w:asciiTheme="minorHAnsi" w:hAnsiTheme="minorHAnsi" w:cs="Arial"/>
        </w:rPr>
        <w:t xml:space="preserve">than specified </w:t>
      </w:r>
      <w:r w:rsidR="006C581F" w:rsidRPr="006C581F">
        <w:rPr>
          <w:rFonts w:asciiTheme="minorHAnsi" w:hAnsiTheme="minorHAnsi" w:cs="Arial"/>
        </w:rPr>
        <w:t xml:space="preserve">due to the size of the generators in the system and their minimum safe loadings (and </w:t>
      </w:r>
      <w:r w:rsidR="001179DA">
        <w:rPr>
          <w:rFonts w:asciiTheme="minorHAnsi" w:hAnsiTheme="minorHAnsi" w:cs="Arial"/>
        </w:rPr>
        <w:t>other constraints on operation). The</w:t>
      </w:r>
      <w:r w:rsidR="006C581F" w:rsidRPr="006C581F">
        <w:rPr>
          <w:rFonts w:asciiTheme="minorHAnsi" w:hAnsiTheme="minorHAnsi" w:cs="Arial"/>
        </w:rPr>
        <w:t xml:space="preserve"> system is actually generally operated with a hi</w:t>
      </w:r>
      <w:r w:rsidR="006C581F">
        <w:rPr>
          <w:rFonts w:asciiTheme="minorHAnsi" w:hAnsiTheme="minorHAnsi" w:cs="Arial"/>
        </w:rPr>
        <w:t>gher level of reserve capacity —</w:t>
      </w:r>
      <w:r w:rsidR="006C581F" w:rsidRPr="006C581F">
        <w:rPr>
          <w:rFonts w:asciiTheme="minorHAnsi" w:hAnsiTheme="minorHAnsi" w:cs="Arial"/>
        </w:rPr>
        <w:t xml:space="preserve"> at an </w:t>
      </w:r>
      <w:r w:rsidR="001179DA">
        <w:rPr>
          <w:rFonts w:asciiTheme="minorHAnsi" w:hAnsiTheme="minorHAnsi" w:cs="Arial"/>
        </w:rPr>
        <w:t>average level of around 40 </w:t>
      </w:r>
      <w:r w:rsidR="006C581F" w:rsidRPr="006C581F">
        <w:rPr>
          <w:rFonts w:asciiTheme="minorHAnsi" w:hAnsiTheme="minorHAnsi" w:cs="Arial"/>
        </w:rPr>
        <w:t>MW.</w:t>
      </w:r>
    </w:p>
    <w:p w14:paraId="66D7FE65" w14:textId="6685B549" w:rsidR="00CB560D" w:rsidRPr="002F64A1" w:rsidRDefault="00CB560D" w:rsidP="00CB560D">
      <w:pPr>
        <w:rPr>
          <w:rFonts w:asciiTheme="minorHAnsi" w:hAnsiTheme="minorHAnsi" w:cs="Arial"/>
        </w:rPr>
      </w:pPr>
      <w:r w:rsidRPr="002F64A1">
        <w:rPr>
          <w:rFonts w:asciiTheme="minorHAnsi" w:hAnsiTheme="minorHAnsi" w:cs="Arial"/>
        </w:rPr>
        <w:t xml:space="preserve">There are no service standards for </w:t>
      </w:r>
      <w:r w:rsidR="00320A0D">
        <w:rPr>
          <w:rFonts w:asciiTheme="minorHAnsi" w:hAnsiTheme="minorHAnsi" w:cs="Arial"/>
        </w:rPr>
        <w:t>V</w:t>
      </w:r>
      <w:r w:rsidRPr="002F64A1">
        <w:rPr>
          <w:rFonts w:asciiTheme="minorHAnsi" w:hAnsiTheme="minorHAnsi" w:cs="Arial"/>
        </w:rPr>
        <w:t xml:space="preserve">oltage </w:t>
      </w:r>
      <w:r w:rsidR="00320A0D">
        <w:rPr>
          <w:rFonts w:asciiTheme="minorHAnsi" w:hAnsiTheme="minorHAnsi" w:cs="Arial"/>
        </w:rPr>
        <w:t>M</w:t>
      </w:r>
      <w:r w:rsidRPr="002F64A1">
        <w:rPr>
          <w:rFonts w:asciiTheme="minorHAnsi" w:hAnsiTheme="minorHAnsi" w:cs="Arial"/>
        </w:rPr>
        <w:t>anagement.</w:t>
      </w:r>
    </w:p>
    <w:p w14:paraId="074749F4" w14:textId="77777777" w:rsidR="00CB560D" w:rsidRPr="002F64A1" w:rsidRDefault="00CB560D" w:rsidP="00CB560D">
      <w:pPr>
        <w:rPr>
          <w:rFonts w:asciiTheme="minorHAnsi" w:hAnsiTheme="minorHAnsi" w:cs="Arial"/>
        </w:rPr>
      </w:pPr>
      <w:r w:rsidRPr="002F64A1">
        <w:rPr>
          <w:rFonts w:asciiTheme="minorHAnsi" w:hAnsiTheme="minorHAnsi" w:cs="Arial"/>
        </w:rPr>
        <w:t>Notwithstanding reference to it in the SCTC</w:t>
      </w:r>
      <w:r w:rsidR="00FB5318">
        <w:rPr>
          <w:rStyle w:val="FootnoteReference"/>
          <w:rFonts w:asciiTheme="minorHAnsi" w:hAnsiTheme="minorHAnsi" w:cs="Arial"/>
        </w:rPr>
        <w:footnoteReference w:id="16"/>
      </w:r>
      <w:r w:rsidRPr="002F64A1">
        <w:rPr>
          <w:rFonts w:asciiTheme="minorHAnsi" w:hAnsiTheme="minorHAnsi" w:cs="Arial"/>
        </w:rPr>
        <w:t xml:space="preserve">, a system restart standard has not been developed by the System Controller. </w:t>
      </w:r>
    </w:p>
    <w:p w14:paraId="54ECC046" w14:textId="5C9CD886" w:rsidR="00CB560D" w:rsidRPr="00CB560D" w:rsidRDefault="00660DDB" w:rsidP="00CB560D">
      <w:pPr>
        <w:pStyle w:val="Heading2"/>
        <w:keepNext/>
        <w:rPr>
          <w:lang w:eastAsia="en-AU"/>
        </w:rPr>
      </w:pPr>
      <w:bookmarkStart w:id="16" w:name="_Toc42779159"/>
      <w:r>
        <w:rPr>
          <w:lang w:eastAsia="en-AU"/>
        </w:rPr>
        <w:t>C</w:t>
      </w:r>
      <w:r w:rsidR="00CB560D" w:rsidRPr="00CB560D">
        <w:rPr>
          <w:lang w:eastAsia="en-AU"/>
        </w:rPr>
        <w:t>ase for change</w:t>
      </w:r>
      <w:bookmarkEnd w:id="16"/>
    </w:p>
    <w:p w14:paraId="199924D5" w14:textId="3288A62F" w:rsidR="00CB560D" w:rsidRDefault="00CB560D" w:rsidP="00CB560D">
      <w:pPr>
        <w:rPr>
          <w:rFonts w:asciiTheme="minorHAnsi" w:hAnsiTheme="minorHAnsi" w:cs="Arial"/>
        </w:rPr>
      </w:pPr>
      <w:r w:rsidRPr="002F64A1">
        <w:rPr>
          <w:rFonts w:asciiTheme="minorHAnsi" w:hAnsiTheme="minorHAnsi" w:cs="Arial"/>
        </w:rPr>
        <w:t xml:space="preserve">Under </w:t>
      </w:r>
      <w:r w:rsidR="00761498">
        <w:rPr>
          <w:rFonts w:asciiTheme="minorHAnsi" w:hAnsiTheme="minorHAnsi" w:cs="Arial"/>
        </w:rPr>
        <w:t xml:space="preserve">any </w:t>
      </w:r>
      <w:r w:rsidRPr="002F64A1">
        <w:rPr>
          <w:rFonts w:asciiTheme="minorHAnsi" w:hAnsiTheme="minorHAnsi" w:cs="Arial"/>
        </w:rPr>
        <w:t>future arrangement, there will continue to be a requirement for the System Controller to determine and dispatch ESS to meet system standards.</w:t>
      </w:r>
    </w:p>
    <w:p w14:paraId="2326CC55" w14:textId="77777777" w:rsidR="00761498" w:rsidRPr="002F64A1" w:rsidRDefault="00761498" w:rsidP="00761498">
      <w:pPr>
        <w:rPr>
          <w:rFonts w:asciiTheme="minorHAnsi" w:hAnsiTheme="minorHAnsi" w:cs="Arial"/>
        </w:rPr>
      </w:pPr>
      <w:r w:rsidRPr="002F64A1">
        <w:rPr>
          <w:rFonts w:asciiTheme="minorHAnsi" w:hAnsiTheme="minorHAnsi" w:cs="Arial"/>
        </w:rPr>
        <w:t>Service requirements are a key driver of the costs of ESS</w:t>
      </w:r>
      <w:r w:rsidR="00460F8F">
        <w:rPr>
          <w:rFonts w:asciiTheme="minorHAnsi" w:hAnsiTheme="minorHAnsi" w:cs="Arial"/>
        </w:rPr>
        <w:t xml:space="preserve"> provision</w:t>
      </w:r>
      <w:r w:rsidRPr="002F64A1">
        <w:rPr>
          <w:rFonts w:asciiTheme="minorHAnsi" w:hAnsiTheme="minorHAnsi" w:cs="Arial"/>
        </w:rPr>
        <w:t xml:space="preserve"> and have been a contentious issue for system participants in the Territory.</w:t>
      </w:r>
    </w:p>
    <w:p w14:paraId="2F2C4CA6" w14:textId="162AC831" w:rsidR="00CB560D" w:rsidRPr="002F64A1" w:rsidRDefault="00CB560D" w:rsidP="00CB560D">
      <w:pPr>
        <w:rPr>
          <w:rFonts w:asciiTheme="minorHAnsi" w:hAnsiTheme="minorHAnsi" w:cs="Arial"/>
        </w:rPr>
      </w:pPr>
      <w:r w:rsidRPr="002F64A1">
        <w:rPr>
          <w:rFonts w:asciiTheme="minorHAnsi" w:hAnsiTheme="minorHAnsi" w:cs="Arial"/>
        </w:rPr>
        <w:t xml:space="preserve">System participants and the System Controller may have different incentives regarding the dispatch of ESS. The System Controller, whose role is to maintain system security, is likely to hold </w:t>
      </w:r>
      <w:r w:rsidR="006D4058">
        <w:rPr>
          <w:rFonts w:asciiTheme="minorHAnsi" w:hAnsiTheme="minorHAnsi" w:cs="Arial"/>
        </w:rPr>
        <w:t xml:space="preserve">a </w:t>
      </w:r>
      <w:r w:rsidRPr="002F64A1">
        <w:rPr>
          <w:rFonts w:asciiTheme="minorHAnsi" w:hAnsiTheme="minorHAnsi" w:cs="Arial"/>
        </w:rPr>
        <w:t>different view on appropriate service requirements, than system participants which supply ESS or from whom ESS costs are recovered.</w:t>
      </w:r>
    </w:p>
    <w:p w14:paraId="518556D1" w14:textId="751FA2C4" w:rsidR="00CB560D" w:rsidRPr="002F64A1" w:rsidRDefault="00761498" w:rsidP="00CB560D">
      <w:pPr>
        <w:rPr>
          <w:rFonts w:asciiTheme="minorHAnsi" w:hAnsiTheme="minorHAnsi" w:cs="Arial"/>
        </w:rPr>
      </w:pPr>
      <w:r>
        <w:rPr>
          <w:rFonts w:asciiTheme="minorHAnsi" w:hAnsiTheme="minorHAnsi" w:cs="Arial"/>
        </w:rPr>
        <w:t xml:space="preserve">Transparency of the decisions of the System Controller </w:t>
      </w:r>
      <w:r w:rsidR="00460F8F">
        <w:rPr>
          <w:rFonts w:asciiTheme="minorHAnsi" w:hAnsiTheme="minorHAnsi" w:cs="Arial"/>
        </w:rPr>
        <w:t>will be</w:t>
      </w:r>
      <w:r>
        <w:rPr>
          <w:rFonts w:asciiTheme="minorHAnsi" w:hAnsiTheme="minorHAnsi" w:cs="Arial"/>
        </w:rPr>
        <w:t xml:space="preserve"> critical to providing system participants with confidence in the ESS framework</w:t>
      </w:r>
      <w:r w:rsidR="00FC302E">
        <w:rPr>
          <w:rFonts w:asciiTheme="minorHAnsi" w:hAnsiTheme="minorHAnsi" w:cs="Arial"/>
        </w:rPr>
        <w:t xml:space="preserve">. </w:t>
      </w:r>
      <w:r w:rsidR="00647669">
        <w:rPr>
          <w:rFonts w:asciiTheme="minorHAnsi" w:hAnsiTheme="minorHAnsi" w:cs="Arial"/>
        </w:rPr>
        <w:t>Under the Territory’s current ESS arrangements there is not the same level of transparency and oversight of ESS service requirements and costs as exist in other Australian electricity markets, potentially contributing to scope for contention and disagreements regarding the dispatch of ESS in the Territory.</w:t>
      </w:r>
    </w:p>
    <w:p w14:paraId="036079F4" w14:textId="77777777" w:rsidR="00CB560D" w:rsidRPr="00CB560D" w:rsidRDefault="00CB560D" w:rsidP="00CB560D">
      <w:pPr>
        <w:pStyle w:val="Heading2"/>
        <w:keepNext/>
        <w:rPr>
          <w:lang w:eastAsia="en-AU"/>
        </w:rPr>
      </w:pPr>
      <w:bookmarkStart w:id="17" w:name="_Toc42779160"/>
      <w:r w:rsidRPr="00CB560D">
        <w:rPr>
          <w:lang w:eastAsia="en-AU"/>
        </w:rPr>
        <w:t>Issues</w:t>
      </w:r>
      <w:bookmarkEnd w:id="17"/>
    </w:p>
    <w:p w14:paraId="7342A425" w14:textId="79F4AC18" w:rsidR="00CB560D" w:rsidRPr="009F1A6F" w:rsidRDefault="00CB560D" w:rsidP="00BE0579">
      <w:pPr>
        <w:pStyle w:val="Heading3"/>
      </w:pPr>
      <w:r w:rsidRPr="009F1A6F">
        <w:t xml:space="preserve">Service </w:t>
      </w:r>
      <w:r w:rsidR="00E51C4F">
        <w:t>s</w:t>
      </w:r>
      <w:r w:rsidRPr="009F1A6F">
        <w:t>tandards</w:t>
      </w:r>
    </w:p>
    <w:p w14:paraId="5EA01839" w14:textId="4FAA719C" w:rsidR="00CB560D" w:rsidRPr="002F64A1" w:rsidRDefault="00CB560D" w:rsidP="00CB560D">
      <w:pPr>
        <w:rPr>
          <w:rFonts w:asciiTheme="minorHAnsi" w:hAnsiTheme="minorHAnsi" w:cs="Arial"/>
        </w:rPr>
      </w:pPr>
      <w:r w:rsidRPr="002F64A1">
        <w:rPr>
          <w:rFonts w:asciiTheme="minorHAnsi" w:hAnsiTheme="minorHAnsi" w:cs="Arial"/>
        </w:rPr>
        <w:t>Transparent and contemporary service standards</w:t>
      </w:r>
      <w:r w:rsidR="006D4058">
        <w:rPr>
          <w:rFonts w:asciiTheme="minorHAnsi" w:hAnsiTheme="minorHAnsi" w:cs="Arial"/>
        </w:rPr>
        <w:t xml:space="preserve"> — that </w:t>
      </w:r>
      <w:r w:rsidR="006D4058" w:rsidRPr="002F64A1">
        <w:rPr>
          <w:rFonts w:asciiTheme="minorHAnsi" w:hAnsiTheme="minorHAnsi" w:cs="Arial"/>
        </w:rPr>
        <w:t>define system standards in terms of the ESS required to maintain them</w:t>
      </w:r>
      <w:r w:rsidR="006D4058">
        <w:rPr>
          <w:rFonts w:asciiTheme="minorHAnsi" w:hAnsiTheme="minorHAnsi" w:cs="Arial"/>
        </w:rPr>
        <w:t xml:space="preserve"> — </w:t>
      </w:r>
      <w:r w:rsidRPr="002F64A1">
        <w:rPr>
          <w:rFonts w:asciiTheme="minorHAnsi" w:hAnsiTheme="minorHAnsi" w:cs="Arial"/>
        </w:rPr>
        <w:t>provid</w:t>
      </w:r>
      <w:r w:rsidR="006D4058">
        <w:rPr>
          <w:rFonts w:asciiTheme="minorHAnsi" w:hAnsiTheme="minorHAnsi" w:cs="Arial"/>
        </w:rPr>
        <w:t>e</w:t>
      </w:r>
      <w:r w:rsidRPr="002F64A1">
        <w:rPr>
          <w:rFonts w:asciiTheme="minorHAnsi" w:hAnsiTheme="minorHAnsi" w:cs="Arial"/>
        </w:rPr>
        <w:t xml:space="preserve"> a benchmark against which to compare the ESS dispatched by the System Controller</w:t>
      </w:r>
      <w:r w:rsidR="006D4058">
        <w:rPr>
          <w:rFonts w:asciiTheme="minorHAnsi" w:hAnsiTheme="minorHAnsi" w:cs="Arial"/>
        </w:rPr>
        <w:t xml:space="preserve"> and</w:t>
      </w:r>
      <w:r w:rsidR="006D4058" w:rsidRPr="006D4058">
        <w:rPr>
          <w:rFonts w:asciiTheme="minorHAnsi" w:hAnsiTheme="minorHAnsi" w:cs="Arial"/>
        </w:rPr>
        <w:t xml:space="preserve"> </w:t>
      </w:r>
      <w:r w:rsidR="006D4058" w:rsidRPr="002F64A1">
        <w:rPr>
          <w:rFonts w:asciiTheme="minorHAnsi" w:hAnsiTheme="minorHAnsi" w:cs="Arial"/>
        </w:rPr>
        <w:t xml:space="preserve">are likely to increase the confidence of market participants in the ESS framework. </w:t>
      </w:r>
    </w:p>
    <w:p w14:paraId="3ECE3B6B" w14:textId="0AFF88ED" w:rsidR="00CB560D" w:rsidRPr="002F64A1" w:rsidRDefault="00CB560D" w:rsidP="00CB560D">
      <w:pPr>
        <w:rPr>
          <w:rFonts w:asciiTheme="minorHAnsi" w:hAnsiTheme="minorHAnsi" w:cs="Arial"/>
        </w:rPr>
      </w:pPr>
      <w:r w:rsidRPr="002F64A1">
        <w:rPr>
          <w:rFonts w:asciiTheme="minorHAnsi" w:hAnsiTheme="minorHAnsi" w:cs="Arial"/>
        </w:rPr>
        <w:t xml:space="preserve">In the WEM, service standards are set out in the Market Rules for each ESS </w:t>
      </w:r>
      <w:r w:rsidR="00E51C4F">
        <w:rPr>
          <w:rFonts w:asciiTheme="minorHAnsi" w:hAnsiTheme="minorHAnsi" w:cs="Arial"/>
        </w:rPr>
        <w:t>—</w:t>
      </w:r>
      <w:r w:rsidRPr="002F64A1">
        <w:rPr>
          <w:rFonts w:asciiTheme="minorHAnsi" w:hAnsiTheme="minorHAnsi" w:cs="Arial"/>
        </w:rPr>
        <w:t xml:space="preserve"> Load Following Ancillary Service (frequency regulation), Spinning Reserve Service (contingency frequency raise) and Load Rejection Reserve Service (contingency frequency lower).</w:t>
      </w:r>
      <w:r w:rsidR="00CC6FCF">
        <w:rPr>
          <w:rStyle w:val="FootnoteReference"/>
          <w:rFonts w:asciiTheme="minorHAnsi" w:hAnsiTheme="minorHAnsi" w:cs="Arial"/>
        </w:rPr>
        <w:footnoteReference w:id="17"/>
      </w:r>
      <w:r w:rsidRPr="002F64A1">
        <w:rPr>
          <w:rFonts w:asciiTheme="minorHAnsi" w:hAnsiTheme="minorHAnsi" w:cs="Arial"/>
        </w:rPr>
        <w:t xml:space="preserve"> The WEM Market Rules specify that the standard for the </w:t>
      </w:r>
      <w:r w:rsidRPr="002F64A1">
        <w:rPr>
          <w:rFonts w:asciiTheme="minorHAnsi" w:hAnsiTheme="minorHAnsi" w:cs="Arial"/>
        </w:rPr>
        <w:lastRenderedPageBreak/>
        <w:t xml:space="preserve">System Restart Service must be a level which is sufficient to meet the operational plans developed by System Management </w:t>
      </w:r>
      <w:r w:rsidR="00E51C4F">
        <w:rPr>
          <w:rFonts w:asciiTheme="minorHAnsi" w:hAnsiTheme="minorHAnsi" w:cs="Arial"/>
        </w:rPr>
        <w:t>—</w:t>
      </w:r>
      <w:r w:rsidRPr="002F64A1">
        <w:rPr>
          <w:rFonts w:asciiTheme="minorHAnsi" w:hAnsiTheme="minorHAnsi" w:cs="Arial"/>
        </w:rPr>
        <w:t xml:space="preserve"> a standard has been published setting out the amount of time within which System Restart Services are required to restore supply to a specified level and how this is to be achieved.</w:t>
      </w:r>
      <w:r w:rsidR="00CC6FCF">
        <w:rPr>
          <w:rStyle w:val="FootnoteReference"/>
          <w:rFonts w:asciiTheme="minorHAnsi" w:hAnsiTheme="minorHAnsi" w:cs="Arial"/>
        </w:rPr>
        <w:footnoteReference w:id="18"/>
      </w:r>
    </w:p>
    <w:p w14:paraId="08CA4341" w14:textId="70F19CC6" w:rsidR="00CB560D" w:rsidRPr="002F64A1" w:rsidRDefault="00CB560D" w:rsidP="00CB560D">
      <w:pPr>
        <w:rPr>
          <w:rFonts w:asciiTheme="minorHAnsi" w:hAnsiTheme="minorHAnsi" w:cs="Arial"/>
        </w:rPr>
      </w:pPr>
      <w:r w:rsidRPr="002F64A1">
        <w:rPr>
          <w:rFonts w:asciiTheme="minorHAnsi" w:hAnsiTheme="minorHAnsi" w:cs="Arial"/>
        </w:rPr>
        <w:t>In the NEM, the Reliability Panel determines a System Restart Standard which sets out the requirements that are to be met by</w:t>
      </w:r>
      <w:r w:rsidR="00DF3424">
        <w:rPr>
          <w:rFonts w:asciiTheme="minorHAnsi" w:hAnsiTheme="minorHAnsi" w:cs="Arial"/>
        </w:rPr>
        <w:t xml:space="preserve"> the Australian Energy Market Operator</w:t>
      </w:r>
      <w:r w:rsidRPr="002F64A1">
        <w:rPr>
          <w:rFonts w:asciiTheme="minorHAnsi" w:hAnsiTheme="minorHAnsi" w:cs="Arial"/>
        </w:rPr>
        <w:t xml:space="preserve"> </w:t>
      </w:r>
      <w:r w:rsidR="00DF3424">
        <w:rPr>
          <w:rFonts w:asciiTheme="minorHAnsi" w:hAnsiTheme="minorHAnsi" w:cs="Arial"/>
        </w:rPr>
        <w:t>(</w:t>
      </w:r>
      <w:r w:rsidRPr="002F64A1">
        <w:rPr>
          <w:rFonts w:asciiTheme="minorHAnsi" w:hAnsiTheme="minorHAnsi" w:cs="Arial"/>
        </w:rPr>
        <w:t>AEMO</w:t>
      </w:r>
      <w:r w:rsidR="00DF3424">
        <w:rPr>
          <w:rFonts w:asciiTheme="minorHAnsi" w:hAnsiTheme="minorHAnsi" w:cs="Arial"/>
        </w:rPr>
        <w:t>)</w:t>
      </w:r>
      <w:r w:rsidRPr="002F64A1">
        <w:rPr>
          <w:rFonts w:asciiTheme="minorHAnsi" w:hAnsiTheme="minorHAnsi" w:cs="Arial"/>
        </w:rPr>
        <w:t xml:space="preserve"> in acquiring sufficient System Restart </w:t>
      </w:r>
      <w:r w:rsidR="00E51C4F">
        <w:rPr>
          <w:rFonts w:asciiTheme="minorHAnsi" w:hAnsiTheme="minorHAnsi" w:cs="Arial"/>
        </w:rPr>
        <w:t>ESS</w:t>
      </w:r>
      <w:r w:rsidRPr="002F64A1">
        <w:rPr>
          <w:rFonts w:asciiTheme="minorHAnsi" w:hAnsiTheme="minorHAnsi" w:cs="Arial"/>
        </w:rPr>
        <w:t>.</w:t>
      </w:r>
      <w:r w:rsidR="00CC6FCF">
        <w:rPr>
          <w:rStyle w:val="FootnoteReference"/>
          <w:rFonts w:asciiTheme="minorHAnsi" w:hAnsiTheme="minorHAnsi" w:cs="Arial"/>
        </w:rPr>
        <w:footnoteReference w:id="19"/>
      </w:r>
    </w:p>
    <w:p w14:paraId="7CB63DDF" w14:textId="77777777" w:rsidR="00CB560D" w:rsidRPr="009F1A6F" w:rsidRDefault="00CB560D" w:rsidP="00BE0579">
      <w:pPr>
        <w:pStyle w:val="Heading3"/>
      </w:pPr>
      <w:r w:rsidRPr="009F1A6F">
        <w:t>Transparency and oversight</w:t>
      </w:r>
    </w:p>
    <w:p w14:paraId="76708D05" w14:textId="77777777" w:rsidR="00CB560D" w:rsidRPr="002F64A1" w:rsidRDefault="00CB560D" w:rsidP="00CB560D">
      <w:pPr>
        <w:rPr>
          <w:rFonts w:asciiTheme="minorHAnsi" w:hAnsiTheme="minorHAnsi" w:cs="Arial"/>
        </w:rPr>
      </w:pPr>
      <w:r w:rsidRPr="002F64A1">
        <w:rPr>
          <w:rFonts w:asciiTheme="minorHAnsi" w:hAnsiTheme="minorHAnsi" w:cs="Arial"/>
        </w:rPr>
        <w:t>The opaqueness of the Territory’s current arrangements for the determination of ESS requirements are in contrast to those in the NEM and WEM, which have defined transparency and oversight mechanisms.</w:t>
      </w:r>
    </w:p>
    <w:p w14:paraId="56DEE024" w14:textId="59B42433" w:rsidR="00CB560D" w:rsidRPr="002F64A1" w:rsidRDefault="00CB560D" w:rsidP="00CB560D">
      <w:pPr>
        <w:rPr>
          <w:rFonts w:asciiTheme="minorHAnsi" w:hAnsiTheme="minorHAnsi" w:cs="Arial"/>
        </w:rPr>
      </w:pPr>
      <w:r w:rsidRPr="002F64A1">
        <w:rPr>
          <w:rFonts w:asciiTheme="minorHAnsi" w:hAnsiTheme="minorHAnsi" w:cs="Arial"/>
        </w:rPr>
        <w:t xml:space="preserve">In the NEM, the </w:t>
      </w:r>
      <w:r w:rsidR="00401755">
        <w:rPr>
          <w:rFonts w:asciiTheme="minorHAnsi" w:hAnsiTheme="minorHAnsi" w:cs="Arial"/>
        </w:rPr>
        <w:t>National Electricity Rules</w:t>
      </w:r>
      <w:r w:rsidRPr="002F64A1">
        <w:rPr>
          <w:rFonts w:asciiTheme="minorHAnsi" w:hAnsiTheme="minorHAnsi" w:cs="Arial"/>
        </w:rPr>
        <w:t xml:space="preserve"> require that:</w:t>
      </w:r>
      <w:r w:rsidR="000933B1">
        <w:rPr>
          <w:rStyle w:val="FootnoteReference"/>
          <w:rFonts w:asciiTheme="minorHAnsi" w:hAnsiTheme="minorHAnsi" w:cs="Arial"/>
        </w:rPr>
        <w:footnoteReference w:id="20"/>
      </w:r>
    </w:p>
    <w:p w14:paraId="3F49B180" w14:textId="6EDDA10D" w:rsidR="00CB560D" w:rsidRPr="009F1A6F" w:rsidRDefault="00CB560D" w:rsidP="009F1A6F">
      <w:pPr>
        <w:pStyle w:val="ListParagraph"/>
        <w:numPr>
          <w:ilvl w:val="0"/>
          <w:numId w:val="12"/>
        </w:numPr>
        <w:spacing w:before="200"/>
        <w:ind w:left="426"/>
        <w:rPr>
          <w:rFonts w:cs="Arial"/>
        </w:rPr>
      </w:pPr>
      <w:r w:rsidRPr="009F1A6F">
        <w:rPr>
          <w:rFonts w:cs="Arial"/>
        </w:rPr>
        <w:t xml:space="preserve">the </w:t>
      </w:r>
      <w:r w:rsidR="00DF3424">
        <w:rPr>
          <w:rFonts w:cs="Arial"/>
        </w:rPr>
        <w:t>Australian Energy Market Operator</w:t>
      </w:r>
      <w:r w:rsidRPr="009F1A6F">
        <w:rPr>
          <w:rFonts w:cs="Arial"/>
        </w:rPr>
        <w:t xml:space="preserve"> publishes quarterly reports on the volume and cost of Market Ancillary Services dispatched by</w:t>
      </w:r>
      <w:r w:rsidR="00E51C4F">
        <w:rPr>
          <w:rFonts w:cs="Arial"/>
        </w:rPr>
        <w:t xml:space="preserve"> </w:t>
      </w:r>
      <w:r w:rsidRPr="009F1A6F">
        <w:rPr>
          <w:rFonts w:cs="Arial"/>
        </w:rPr>
        <w:t>AEMO</w:t>
      </w:r>
    </w:p>
    <w:p w14:paraId="092B4EF9" w14:textId="3EE484B6" w:rsidR="00CB560D" w:rsidRPr="009F1A6F" w:rsidRDefault="00CB560D" w:rsidP="009F1A6F">
      <w:pPr>
        <w:pStyle w:val="ListParagraph"/>
        <w:numPr>
          <w:ilvl w:val="0"/>
          <w:numId w:val="12"/>
        </w:numPr>
        <w:spacing w:before="200"/>
        <w:ind w:left="426"/>
        <w:rPr>
          <w:rFonts w:cs="Arial"/>
        </w:rPr>
      </w:pPr>
      <w:r w:rsidRPr="009F1A6F">
        <w:rPr>
          <w:rFonts w:cs="Arial"/>
        </w:rPr>
        <w:t>AEMO publishes the total estimated annual costs and quantities of each type of Network Support and Control Ancillary Service acquired by it under ancillary services agreements</w:t>
      </w:r>
    </w:p>
    <w:p w14:paraId="5D816745" w14:textId="77777777" w:rsidR="00CB560D" w:rsidRPr="009F1A6F" w:rsidRDefault="00CB560D" w:rsidP="009F1A6F">
      <w:pPr>
        <w:pStyle w:val="ListParagraph"/>
        <w:numPr>
          <w:ilvl w:val="0"/>
          <w:numId w:val="12"/>
        </w:numPr>
        <w:spacing w:before="200"/>
        <w:ind w:left="426"/>
        <w:rPr>
          <w:rFonts w:cs="Arial"/>
        </w:rPr>
      </w:pPr>
      <w:proofErr w:type="gramStart"/>
      <w:r w:rsidRPr="009F1A6F">
        <w:rPr>
          <w:rFonts w:cs="Arial"/>
        </w:rPr>
        <w:t>at</w:t>
      </w:r>
      <w:proofErr w:type="gramEnd"/>
      <w:r w:rsidRPr="009F1A6F">
        <w:rPr>
          <w:rFonts w:cs="Arial"/>
        </w:rPr>
        <w:t xml:space="preserve"> least once each year, AEMO prepares and publishes a report detailing the total estimated annual cost for the provision of System Restart Ancillary Service, broken down by charges for availability and use.</w:t>
      </w:r>
    </w:p>
    <w:p w14:paraId="4863A07A" w14:textId="6EE6F165" w:rsidR="00CB560D" w:rsidRPr="002F64A1" w:rsidRDefault="00CB560D" w:rsidP="00CB560D">
      <w:pPr>
        <w:rPr>
          <w:rFonts w:asciiTheme="minorHAnsi" w:hAnsiTheme="minorHAnsi" w:cs="Arial"/>
        </w:rPr>
      </w:pPr>
      <w:r w:rsidRPr="002F64A1">
        <w:rPr>
          <w:rFonts w:asciiTheme="minorHAnsi" w:hAnsiTheme="minorHAnsi" w:cs="Arial"/>
        </w:rPr>
        <w:t xml:space="preserve">In the WEM, AEMO must submit </w:t>
      </w:r>
      <w:r w:rsidR="00E51C4F">
        <w:rPr>
          <w:rFonts w:asciiTheme="minorHAnsi" w:hAnsiTheme="minorHAnsi" w:cs="Arial"/>
        </w:rPr>
        <w:t>ESS</w:t>
      </w:r>
      <w:r w:rsidRPr="002F64A1">
        <w:rPr>
          <w:rFonts w:asciiTheme="minorHAnsi" w:hAnsiTheme="minorHAnsi" w:cs="Arial"/>
        </w:rPr>
        <w:t xml:space="preserve"> requirements for the coming year to the Economic Regulation Authority for approval. The </w:t>
      </w:r>
      <w:r w:rsidR="00EA4634">
        <w:rPr>
          <w:rFonts w:asciiTheme="minorHAnsi" w:hAnsiTheme="minorHAnsi" w:cs="Arial"/>
        </w:rPr>
        <w:t>Economic Regulation Authority</w:t>
      </w:r>
      <w:r w:rsidRPr="002F64A1">
        <w:rPr>
          <w:rFonts w:asciiTheme="minorHAnsi" w:hAnsiTheme="minorHAnsi" w:cs="Arial"/>
        </w:rPr>
        <w:t xml:space="preserve"> must audit AEMO’s determination of the </w:t>
      </w:r>
      <w:r w:rsidR="00E51C4F">
        <w:rPr>
          <w:rFonts w:asciiTheme="minorHAnsi" w:hAnsiTheme="minorHAnsi" w:cs="Arial"/>
        </w:rPr>
        <w:t>ESS</w:t>
      </w:r>
      <w:r w:rsidRPr="002F64A1">
        <w:rPr>
          <w:rFonts w:asciiTheme="minorHAnsi" w:hAnsiTheme="minorHAnsi" w:cs="Arial"/>
        </w:rPr>
        <w:t xml:space="preserve"> requirements and may require AEMO to </w:t>
      </w:r>
      <w:proofErr w:type="spellStart"/>
      <w:r w:rsidRPr="002F64A1">
        <w:rPr>
          <w:rFonts w:asciiTheme="minorHAnsi" w:hAnsiTheme="minorHAnsi" w:cs="Arial"/>
        </w:rPr>
        <w:t>redetermine</w:t>
      </w:r>
      <w:proofErr w:type="spellEnd"/>
      <w:r w:rsidRPr="002F64A1">
        <w:rPr>
          <w:rFonts w:asciiTheme="minorHAnsi" w:hAnsiTheme="minorHAnsi" w:cs="Arial"/>
        </w:rPr>
        <w:t xml:space="preserve"> the requirements.</w:t>
      </w:r>
      <w:r w:rsidRPr="008218E4">
        <w:rPr>
          <w:rFonts w:asciiTheme="minorHAnsi" w:hAnsiTheme="minorHAnsi"/>
          <w:vertAlign w:val="superscript"/>
        </w:rPr>
        <w:footnoteReference w:id="21"/>
      </w:r>
    </w:p>
    <w:p w14:paraId="31103D11" w14:textId="12972BA1" w:rsidR="00CB560D" w:rsidRPr="002F64A1" w:rsidRDefault="00CB560D" w:rsidP="00CB560D">
      <w:pPr>
        <w:rPr>
          <w:rFonts w:asciiTheme="minorHAnsi" w:hAnsiTheme="minorHAnsi" w:cs="Arial"/>
        </w:rPr>
      </w:pPr>
      <w:r w:rsidRPr="002F64A1">
        <w:rPr>
          <w:rFonts w:asciiTheme="minorHAnsi" w:hAnsiTheme="minorHAnsi" w:cs="Arial"/>
        </w:rPr>
        <w:t xml:space="preserve">Given the importance of service requirement forecasts to overall costs, and the scope for </w:t>
      </w:r>
      <w:r w:rsidR="0092301A">
        <w:rPr>
          <w:rFonts w:asciiTheme="minorHAnsi" w:hAnsiTheme="minorHAnsi" w:cs="Arial"/>
        </w:rPr>
        <w:t>contention</w:t>
      </w:r>
      <w:r w:rsidR="000933B1">
        <w:rPr>
          <w:rFonts w:asciiTheme="minorHAnsi" w:hAnsiTheme="minorHAnsi" w:cs="Arial"/>
        </w:rPr>
        <w:t xml:space="preserve"> and </w:t>
      </w:r>
      <w:r w:rsidRPr="002F64A1">
        <w:rPr>
          <w:rFonts w:asciiTheme="minorHAnsi" w:hAnsiTheme="minorHAnsi" w:cs="Arial"/>
        </w:rPr>
        <w:t xml:space="preserve">disagreement </w:t>
      </w:r>
      <w:r w:rsidR="000933B1">
        <w:rPr>
          <w:rFonts w:asciiTheme="minorHAnsi" w:hAnsiTheme="minorHAnsi" w:cs="Arial"/>
        </w:rPr>
        <w:t>regarding ESS requirements</w:t>
      </w:r>
      <w:r w:rsidRPr="002F64A1">
        <w:rPr>
          <w:rFonts w:asciiTheme="minorHAnsi" w:hAnsiTheme="minorHAnsi" w:cs="Arial"/>
        </w:rPr>
        <w:t xml:space="preserve">, there </w:t>
      </w:r>
      <w:r w:rsidR="000933B1">
        <w:rPr>
          <w:rFonts w:asciiTheme="minorHAnsi" w:hAnsiTheme="minorHAnsi" w:cs="Arial"/>
        </w:rPr>
        <w:t>could</w:t>
      </w:r>
      <w:r w:rsidRPr="002F64A1">
        <w:rPr>
          <w:rFonts w:asciiTheme="minorHAnsi" w:hAnsiTheme="minorHAnsi" w:cs="Arial"/>
        </w:rPr>
        <w:t xml:space="preserve"> be benefit from introducing transparency and oversight arrangements</w:t>
      </w:r>
      <w:r w:rsidR="000933B1">
        <w:rPr>
          <w:rFonts w:asciiTheme="minorHAnsi" w:hAnsiTheme="minorHAnsi" w:cs="Arial"/>
        </w:rPr>
        <w:t xml:space="preserve"> for</w:t>
      </w:r>
      <w:r w:rsidR="00E51C4F">
        <w:rPr>
          <w:rFonts w:asciiTheme="minorHAnsi" w:hAnsiTheme="minorHAnsi" w:cs="Arial"/>
        </w:rPr>
        <w:t xml:space="preserve"> the Territory’s</w:t>
      </w:r>
      <w:r w:rsidR="000933B1">
        <w:rPr>
          <w:rFonts w:asciiTheme="minorHAnsi" w:hAnsiTheme="minorHAnsi" w:cs="Arial"/>
        </w:rPr>
        <w:t xml:space="preserve"> ESS service requirements</w:t>
      </w:r>
      <w:r w:rsidRPr="002F64A1">
        <w:rPr>
          <w:rFonts w:asciiTheme="minorHAnsi" w:hAnsiTheme="minorHAnsi" w:cs="Arial"/>
        </w:rPr>
        <w:t>.</w:t>
      </w:r>
    </w:p>
    <w:tbl>
      <w:tblPr>
        <w:tblStyle w:val="TableGrid"/>
        <w:tblW w:w="0" w:type="auto"/>
        <w:tblLook w:val="04A0" w:firstRow="1" w:lastRow="0" w:firstColumn="1" w:lastColumn="0" w:noHBand="0" w:noVBand="1"/>
      </w:tblPr>
      <w:tblGrid>
        <w:gridCol w:w="10308"/>
      </w:tblGrid>
      <w:tr w:rsidR="00CB560D" w14:paraId="5FB38B52" w14:textId="77777777" w:rsidTr="008218E4">
        <w:tc>
          <w:tcPr>
            <w:tcW w:w="0" w:type="auto"/>
          </w:tcPr>
          <w:p w14:paraId="5703795C" w14:textId="77777777" w:rsidR="00CB560D" w:rsidRPr="009F1A6F" w:rsidRDefault="00CB560D" w:rsidP="009F1A6F">
            <w:pPr>
              <w:spacing w:before="120"/>
              <w:rPr>
                <w:rFonts w:asciiTheme="minorHAnsi" w:hAnsiTheme="minorHAnsi" w:cs="Arial"/>
                <w:b/>
              </w:rPr>
            </w:pPr>
            <w:r w:rsidRPr="009F1A6F">
              <w:rPr>
                <w:rFonts w:asciiTheme="minorHAnsi" w:hAnsiTheme="minorHAnsi" w:cs="Arial"/>
                <w:b/>
              </w:rPr>
              <w:t>Question 3</w:t>
            </w:r>
          </w:p>
          <w:p w14:paraId="3B53A380" w14:textId="77777777" w:rsidR="00CB560D" w:rsidRPr="009F1A6F" w:rsidRDefault="00CB560D" w:rsidP="009F1A6F">
            <w:pPr>
              <w:pStyle w:val="ListParagraph"/>
              <w:numPr>
                <w:ilvl w:val="0"/>
                <w:numId w:val="18"/>
              </w:numPr>
              <w:spacing w:before="120"/>
              <w:rPr>
                <w:rFonts w:asciiTheme="minorHAnsi" w:eastAsia="Calibri" w:hAnsiTheme="minorHAnsi" w:cs="Arial"/>
                <w:iCs w:val="0"/>
              </w:rPr>
            </w:pPr>
            <w:r w:rsidRPr="009F1A6F">
              <w:rPr>
                <w:rFonts w:asciiTheme="minorHAnsi" w:eastAsia="Calibri" w:hAnsiTheme="minorHAnsi" w:cs="Arial"/>
                <w:iCs w:val="0"/>
              </w:rPr>
              <w:t xml:space="preserve">What issues or concerns do current arrangements for the determination of system service requirements raise? How do these influence investment decisions made by power system participants and is reform warranted? </w:t>
            </w:r>
          </w:p>
          <w:p w14:paraId="12B4409E" w14:textId="37292158" w:rsidR="00CB560D" w:rsidRPr="009F1A6F" w:rsidRDefault="00CB560D" w:rsidP="009F1A6F">
            <w:pPr>
              <w:pStyle w:val="ListParagraph"/>
              <w:numPr>
                <w:ilvl w:val="0"/>
                <w:numId w:val="18"/>
              </w:numPr>
              <w:spacing w:before="120"/>
              <w:ind w:left="357" w:hanging="357"/>
              <w:rPr>
                <w:rFonts w:asciiTheme="minorHAnsi" w:eastAsia="Calibri" w:hAnsiTheme="minorHAnsi" w:cs="Arial"/>
                <w:iCs w:val="0"/>
              </w:rPr>
            </w:pPr>
            <w:r w:rsidRPr="009F1A6F">
              <w:rPr>
                <w:rFonts w:asciiTheme="minorHAnsi" w:eastAsia="Calibri" w:hAnsiTheme="minorHAnsi" w:cs="Arial"/>
                <w:iCs w:val="0"/>
              </w:rPr>
              <w:t xml:space="preserve">Should the ESS framework incorporate service standards, in additional to system standards? Should ESS standards be applied in </w:t>
            </w:r>
            <w:r w:rsidR="00E51C4F">
              <w:rPr>
                <w:rFonts w:asciiTheme="minorHAnsi" w:eastAsia="Calibri" w:hAnsiTheme="minorHAnsi" w:cs="Arial"/>
                <w:iCs w:val="0"/>
              </w:rPr>
              <w:t>a regulatory instrument</w:t>
            </w:r>
            <w:r w:rsidRPr="009F1A6F">
              <w:rPr>
                <w:rFonts w:asciiTheme="minorHAnsi" w:eastAsia="Calibri" w:hAnsiTheme="minorHAnsi" w:cs="Arial"/>
                <w:iCs w:val="0"/>
              </w:rPr>
              <w:t xml:space="preserve">, or in </w:t>
            </w:r>
            <w:r w:rsidR="00E51C4F">
              <w:rPr>
                <w:rFonts w:asciiTheme="minorHAnsi" w:eastAsia="Calibri" w:hAnsiTheme="minorHAnsi" w:cs="Arial"/>
                <w:iCs w:val="0"/>
              </w:rPr>
              <w:t>a</w:t>
            </w:r>
            <w:r w:rsidRPr="009F1A6F">
              <w:rPr>
                <w:rFonts w:asciiTheme="minorHAnsi" w:eastAsia="Calibri" w:hAnsiTheme="minorHAnsi" w:cs="Arial"/>
                <w:iCs w:val="0"/>
              </w:rPr>
              <w:t xml:space="preserve"> System Controller instrument?</w:t>
            </w:r>
          </w:p>
          <w:p w14:paraId="281F9C15" w14:textId="77777777" w:rsidR="00CB560D" w:rsidRDefault="00CB560D" w:rsidP="009F1A6F">
            <w:pPr>
              <w:pStyle w:val="ListParagraph"/>
              <w:numPr>
                <w:ilvl w:val="0"/>
                <w:numId w:val="18"/>
              </w:numPr>
              <w:spacing w:before="120"/>
              <w:ind w:left="357" w:hanging="357"/>
              <w:rPr>
                <w:rFonts w:ascii="Arial" w:hAnsi="Arial" w:cs="Arial"/>
              </w:rPr>
            </w:pPr>
            <w:r w:rsidRPr="009F1A6F">
              <w:rPr>
                <w:rFonts w:asciiTheme="minorHAnsi" w:eastAsia="Calibri" w:hAnsiTheme="minorHAnsi" w:cs="Arial"/>
                <w:iCs w:val="0"/>
              </w:rPr>
              <w:t>Should the System Controller’s determination of service requirements be subject to transparency and oversight mechanisms? If so, what arrangements are appropriate?</w:t>
            </w:r>
          </w:p>
        </w:tc>
      </w:tr>
    </w:tbl>
    <w:p w14:paraId="05F4C3C0" w14:textId="77777777" w:rsidR="00CB560D" w:rsidRDefault="00CB560D" w:rsidP="00CB560D">
      <w:pPr>
        <w:rPr>
          <w:rFonts w:ascii="Arial" w:hAnsi="Arial" w:cs="Arial"/>
        </w:rPr>
      </w:pPr>
    </w:p>
    <w:p w14:paraId="1A065300" w14:textId="77777777" w:rsidR="00CB560D" w:rsidRDefault="00CB560D" w:rsidP="00CB560D">
      <w:pPr>
        <w:rPr>
          <w:rFonts w:ascii="Arial" w:hAnsi="Arial" w:cs="Arial"/>
        </w:rPr>
      </w:pPr>
      <w:r>
        <w:rPr>
          <w:rFonts w:ascii="Arial" w:hAnsi="Arial" w:cs="Arial"/>
        </w:rPr>
        <w:br w:type="page"/>
      </w:r>
    </w:p>
    <w:p w14:paraId="7FAAEDF4" w14:textId="1A51BF63" w:rsidR="00CB560D" w:rsidRPr="00CB560D" w:rsidRDefault="00CB560D" w:rsidP="00CB560D">
      <w:pPr>
        <w:pStyle w:val="Heading1"/>
        <w:rPr>
          <w:lang w:eastAsia="en-AU"/>
        </w:rPr>
      </w:pPr>
      <w:bookmarkStart w:id="18" w:name="_Toc42779161"/>
      <w:r w:rsidRPr="00CB560D">
        <w:rPr>
          <w:lang w:eastAsia="en-AU"/>
        </w:rPr>
        <w:lastRenderedPageBreak/>
        <w:t xml:space="preserve">Service </w:t>
      </w:r>
      <w:r w:rsidR="00146454">
        <w:rPr>
          <w:lang w:eastAsia="en-AU"/>
        </w:rPr>
        <w:t>p</w:t>
      </w:r>
      <w:r w:rsidRPr="00CB560D">
        <w:rPr>
          <w:lang w:eastAsia="en-AU"/>
        </w:rPr>
        <w:t xml:space="preserve">rovision </w:t>
      </w:r>
      <w:r w:rsidR="00146454">
        <w:rPr>
          <w:lang w:eastAsia="en-AU"/>
        </w:rPr>
        <w:t>f</w:t>
      </w:r>
      <w:r w:rsidRPr="00CB560D">
        <w:rPr>
          <w:lang w:eastAsia="en-AU"/>
        </w:rPr>
        <w:t>ramework</w:t>
      </w:r>
      <w:bookmarkEnd w:id="18"/>
      <w:r w:rsidRPr="00CB560D">
        <w:rPr>
          <w:lang w:eastAsia="en-AU"/>
        </w:rPr>
        <w:t xml:space="preserve"> </w:t>
      </w:r>
    </w:p>
    <w:p w14:paraId="5B77AA5E" w14:textId="77777777" w:rsidR="00CB560D" w:rsidRPr="009F1A6F" w:rsidRDefault="00CB560D" w:rsidP="00CB560D">
      <w:pPr>
        <w:rPr>
          <w:rFonts w:asciiTheme="minorHAnsi" w:hAnsiTheme="minorHAnsi" w:cs="Arial"/>
        </w:rPr>
      </w:pPr>
      <w:r w:rsidRPr="009F1A6F">
        <w:rPr>
          <w:rFonts w:asciiTheme="minorHAnsi" w:hAnsiTheme="minorHAnsi" w:cs="Arial"/>
        </w:rPr>
        <w:t>The service provision framework will govern how the System Controller procures the ESS required to maintain system security.</w:t>
      </w:r>
    </w:p>
    <w:p w14:paraId="18CFB463" w14:textId="18BE73B8" w:rsidR="00CB560D" w:rsidRPr="009F1A6F" w:rsidRDefault="00CB560D" w:rsidP="00CB560D">
      <w:pPr>
        <w:rPr>
          <w:rFonts w:asciiTheme="minorHAnsi" w:hAnsiTheme="minorHAnsi" w:cs="Arial"/>
        </w:rPr>
      </w:pPr>
      <w:r w:rsidRPr="009F1A6F">
        <w:rPr>
          <w:rFonts w:asciiTheme="minorHAnsi" w:hAnsiTheme="minorHAnsi" w:cs="Arial"/>
        </w:rPr>
        <w:t>At a high level, there are three broad</w:t>
      </w:r>
      <w:r w:rsidR="00A7700D">
        <w:rPr>
          <w:rFonts w:asciiTheme="minorHAnsi" w:hAnsiTheme="minorHAnsi" w:cs="Arial"/>
        </w:rPr>
        <w:t xml:space="preserve"> potential</w:t>
      </w:r>
      <w:r w:rsidRPr="009F1A6F">
        <w:rPr>
          <w:rFonts w:asciiTheme="minorHAnsi" w:hAnsiTheme="minorHAnsi" w:cs="Arial"/>
        </w:rPr>
        <w:t xml:space="preserve"> frameworks for procurement of ESS:</w:t>
      </w:r>
    </w:p>
    <w:p w14:paraId="73480471" w14:textId="436CBC12" w:rsidR="00CB560D" w:rsidRPr="009F1A6F" w:rsidRDefault="00CB560D" w:rsidP="009F1A6F">
      <w:pPr>
        <w:pStyle w:val="ListParagraph"/>
        <w:numPr>
          <w:ilvl w:val="0"/>
          <w:numId w:val="12"/>
        </w:numPr>
        <w:spacing w:before="200"/>
        <w:ind w:left="426"/>
        <w:rPr>
          <w:rFonts w:cs="Arial"/>
        </w:rPr>
      </w:pPr>
      <w:r w:rsidRPr="009F1A6F">
        <w:rPr>
          <w:rFonts w:cs="Arial"/>
        </w:rPr>
        <w:t>regulation (including regulated tariffs and mandated provision)</w:t>
      </w:r>
    </w:p>
    <w:p w14:paraId="2CDF5205" w14:textId="3D77D77B" w:rsidR="00CB560D" w:rsidRPr="009F1A6F" w:rsidRDefault="00CB560D" w:rsidP="009F1A6F">
      <w:pPr>
        <w:pStyle w:val="ListParagraph"/>
        <w:numPr>
          <w:ilvl w:val="0"/>
          <w:numId w:val="12"/>
        </w:numPr>
        <w:spacing w:before="200"/>
        <w:ind w:left="426"/>
        <w:rPr>
          <w:rFonts w:cs="Arial"/>
        </w:rPr>
      </w:pPr>
      <w:r w:rsidRPr="009F1A6F">
        <w:rPr>
          <w:rFonts w:cs="Arial"/>
        </w:rPr>
        <w:t>bilateral contracts</w:t>
      </w:r>
    </w:p>
    <w:p w14:paraId="0E5A641C" w14:textId="77777777" w:rsidR="00CB560D" w:rsidRPr="009F1A6F" w:rsidRDefault="00CB560D" w:rsidP="009F1A6F">
      <w:pPr>
        <w:pStyle w:val="ListParagraph"/>
        <w:numPr>
          <w:ilvl w:val="0"/>
          <w:numId w:val="12"/>
        </w:numPr>
        <w:spacing w:before="200"/>
        <w:ind w:left="426"/>
        <w:rPr>
          <w:rFonts w:cs="Arial"/>
        </w:rPr>
      </w:pPr>
      <w:proofErr w:type="gramStart"/>
      <w:r w:rsidRPr="009F1A6F">
        <w:rPr>
          <w:rFonts w:cs="Arial"/>
        </w:rPr>
        <w:t>pricing</w:t>
      </w:r>
      <w:proofErr w:type="gramEnd"/>
      <w:r w:rsidRPr="009F1A6F">
        <w:rPr>
          <w:rFonts w:cs="Arial"/>
        </w:rPr>
        <w:t xml:space="preserve"> and dispatch through a spot market.</w:t>
      </w:r>
    </w:p>
    <w:p w14:paraId="3CBF34ED" w14:textId="77777777" w:rsidR="00CB560D" w:rsidRPr="009F1A6F" w:rsidRDefault="00CB560D" w:rsidP="00CB560D">
      <w:pPr>
        <w:rPr>
          <w:rFonts w:asciiTheme="minorHAnsi" w:hAnsiTheme="minorHAnsi" w:cs="Arial"/>
        </w:rPr>
      </w:pPr>
      <w:r w:rsidRPr="009F1A6F">
        <w:rPr>
          <w:rFonts w:asciiTheme="minorHAnsi" w:hAnsiTheme="minorHAnsi" w:cs="Arial"/>
        </w:rPr>
        <w:t>The appropriate service provision framework for the Territory’s regulated electricity systems will depend on their specific characteristics and may vary by system.</w:t>
      </w:r>
    </w:p>
    <w:p w14:paraId="0E5E4F21" w14:textId="77777777" w:rsidR="00CB560D" w:rsidRPr="00CB560D" w:rsidRDefault="00CB560D" w:rsidP="00CB560D">
      <w:pPr>
        <w:pStyle w:val="Heading2"/>
        <w:keepNext/>
        <w:rPr>
          <w:lang w:eastAsia="en-AU"/>
        </w:rPr>
      </w:pPr>
      <w:bookmarkStart w:id="19" w:name="_Toc42779162"/>
      <w:r w:rsidRPr="00CB560D">
        <w:rPr>
          <w:lang w:eastAsia="en-AU"/>
        </w:rPr>
        <w:t>Current arrangements</w:t>
      </w:r>
      <w:bookmarkEnd w:id="19"/>
    </w:p>
    <w:p w14:paraId="530E4F19" w14:textId="77777777" w:rsidR="00CB560D" w:rsidRPr="009F1A6F" w:rsidRDefault="00CB560D" w:rsidP="00CB560D">
      <w:pPr>
        <w:rPr>
          <w:rFonts w:asciiTheme="minorHAnsi" w:hAnsiTheme="minorHAnsi" w:cs="Arial"/>
        </w:rPr>
      </w:pPr>
      <w:r w:rsidRPr="009F1A6F">
        <w:rPr>
          <w:rFonts w:asciiTheme="minorHAnsi" w:hAnsiTheme="minorHAnsi" w:cs="Arial"/>
        </w:rPr>
        <w:t>The Territory’s current ESS framework is characterised by regulation with a mix of regulated tariff and mandated provision elements.</w:t>
      </w:r>
    </w:p>
    <w:p w14:paraId="66FD4F11" w14:textId="0C50E477" w:rsidR="00CB560D" w:rsidRPr="009F1A6F" w:rsidRDefault="00CB560D" w:rsidP="00CB560D">
      <w:pPr>
        <w:rPr>
          <w:rFonts w:asciiTheme="minorHAnsi" w:hAnsiTheme="minorHAnsi" w:cs="Arial"/>
        </w:rPr>
      </w:pPr>
      <w:r w:rsidRPr="009F1A6F">
        <w:rPr>
          <w:rFonts w:asciiTheme="minorHAnsi" w:hAnsiTheme="minorHAnsi" w:cs="Arial"/>
        </w:rPr>
        <w:t xml:space="preserve">Notwithstanding </w:t>
      </w:r>
      <w:r w:rsidR="003E2498">
        <w:rPr>
          <w:rFonts w:asciiTheme="minorHAnsi" w:hAnsiTheme="minorHAnsi" w:cs="Arial"/>
        </w:rPr>
        <w:t>an</w:t>
      </w:r>
      <w:r w:rsidRPr="009F1A6F">
        <w:rPr>
          <w:rFonts w:asciiTheme="minorHAnsi" w:hAnsiTheme="minorHAnsi" w:cs="Arial"/>
        </w:rPr>
        <w:t xml:space="preserve"> SCTC requirement that a regulatory mechanism for the procurement and responsibility for </w:t>
      </w:r>
      <w:r w:rsidR="00F80735">
        <w:rPr>
          <w:rFonts w:asciiTheme="minorHAnsi" w:hAnsiTheme="minorHAnsi" w:cs="Arial"/>
        </w:rPr>
        <w:t>ESS</w:t>
      </w:r>
      <w:r w:rsidRPr="009F1A6F">
        <w:rPr>
          <w:rFonts w:asciiTheme="minorHAnsi" w:hAnsiTheme="minorHAnsi" w:cs="Arial"/>
        </w:rPr>
        <w:t xml:space="preserve"> be developed</w:t>
      </w:r>
      <w:r w:rsidRPr="009F1A6F">
        <w:rPr>
          <w:rFonts w:asciiTheme="minorHAnsi" w:hAnsiTheme="minorHAnsi"/>
          <w:vertAlign w:val="superscript"/>
        </w:rPr>
        <w:footnoteReference w:id="22"/>
      </w:r>
      <w:r w:rsidRPr="009F1A6F">
        <w:rPr>
          <w:rFonts w:asciiTheme="minorHAnsi" w:hAnsiTheme="minorHAnsi" w:cs="Arial"/>
        </w:rPr>
        <w:t xml:space="preserve">, and for system participants to be remunerated for </w:t>
      </w:r>
      <w:r w:rsidR="00F80735">
        <w:rPr>
          <w:rFonts w:asciiTheme="minorHAnsi" w:hAnsiTheme="minorHAnsi" w:cs="Arial"/>
        </w:rPr>
        <w:t>ESS</w:t>
      </w:r>
      <w:r w:rsidRPr="009F1A6F">
        <w:rPr>
          <w:rFonts w:asciiTheme="minorHAnsi" w:hAnsiTheme="minorHAnsi" w:cs="Arial"/>
        </w:rPr>
        <w:t xml:space="preserve"> based on the type and amount of service provided</w:t>
      </w:r>
      <w:r w:rsidRPr="009F1A6F">
        <w:rPr>
          <w:rFonts w:asciiTheme="minorHAnsi" w:hAnsiTheme="minorHAnsi"/>
          <w:vertAlign w:val="superscript"/>
        </w:rPr>
        <w:footnoteReference w:id="23"/>
      </w:r>
      <w:r w:rsidRPr="009F1A6F">
        <w:rPr>
          <w:rFonts w:asciiTheme="minorHAnsi" w:hAnsiTheme="minorHAnsi" w:cs="Arial"/>
        </w:rPr>
        <w:t>, no arrangements have been developed to date.</w:t>
      </w:r>
    </w:p>
    <w:p w14:paraId="1ECF28FA" w14:textId="038E57B3" w:rsidR="00CB560D" w:rsidRDefault="00CB560D" w:rsidP="00CB560D">
      <w:pPr>
        <w:rPr>
          <w:rFonts w:asciiTheme="minorHAnsi" w:hAnsiTheme="minorHAnsi" w:cs="Arial"/>
        </w:rPr>
      </w:pPr>
      <w:r w:rsidRPr="009F1A6F">
        <w:rPr>
          <w:rFonts w:asciiTheme="minorHAnsi" w:hAnsiTheme="minorHAnsi" w:cs="Arial"/>
        </w:rPr>
        <w:t>Instead, the SCTC makes provision for generators to pay Territory Generation for provision of ESS at a rate of $5.40</w:t>
      </w:r>
      <w:r w:rsidR="002B743A">
        <w:rPr>
          <w:rFonts w:asciiTheme="minorHAnsi" w:hAnsiTheme="minorHAnsi" w:cs="Arial"/>
        </w:rPr>
        <w:t>/</w:t>
      </w:r>
      <w:r w:rsidRPr="009F1A6F">
        <w:rPr>
          <w:rFonts w:asciiTheme="minorHAnsi" w:hAnsiTheme="minorHAnsi" w:cs="Arial"/>
        </w:rPr>
        <w:t>MWh of electricity sent out.</w:t>
      </w:r>
      <w:r w:rsidR="00B01718">
        <w:rPr>
          <w:rStyle w:val="FootnoteReference"/>
          <w:rFonts w:asciiTheme="minorHAnsi" w:hAnsiTheme="minorHAnsi" w:cs="Arial"/>
        </w:rPr>
        <w:footnoteReference w:id="24"/>
      </w:r>
    </w:p>
    <w:p w14:paraId="6A793FB9" w14:textId="77777777" w:rsidR="00CB560D" w:rsidRPr="009F1A6F" w:rsidRDefault="00CB560D" w:rsidP="00CB560D">
      <w:pPr>
        <w:rPr>
          <w:rFonts w:asciiTheme="minorHAnsi" w:hAnsiTheme="minorHAnsi" w:cs="Arial"/>
        </w:rPr>
      </w:pPr>
      <w:r w:rsidRPr="009F1A6F">
        <w:rPr>
          <w:rFonts w:asciiTheme="minorHAnsi" w:hAnsiTheme="minorHAnsi" w:cs="Arial"/>
        </w:rPr>
        <w:t>Other generators may be called on by the System Controller to provide ESS, but there is no</w:t>
      </w:r>
      <w:r w:rsidR="00F72DCE">
        <w:rPr>
          <w:rFonts w:asciiTheme="minorHAnsi" w:hAnsiTheme="minorHAnsi" w:cs="Arial"/>
        </w:rPr>
        <w:t xml:space="preserve"> formal</w:t>
      </w:r>
      <w:r w:rsidRPr="009F1A6F">
        <w:rPr>
          <w:rFonts w:asciiTheme="minorHAnsi" w:hAnsiTheme="minorHAnsi" w:cs="Arial"/>
        </w:rPr>
        <w:t xml:space="preserve"> mechanism to compensate them for this. There is also no incentive, other than through sub</w:t>
      </w:r>
      <w:r w:rsidRPr="009F1A6F">
        <w:rPr>
          <w:rFonts w:asciiTheme="minorHAnsi" w:hAnsiTheme="minorHAnsi" w:cs="Arial"/>
        </w:rPr>
        <w:noBreakHyphen/>
        <w:t>contracting by Territory Generation, for third parties to provide ESS voluntarily.</w:t>
      </w:r>
    </w:p>
    <w:p w14:paraId="488E93DE" w14:textId="77777777" w:rsidR="00CB560D" w:rsidRPr="009F1A6F" w:rsidRDefault="00CB560D" w:rsidP="00CB560D">
      <w:pPr>
        <w:rPr>
          <w:rFonts w:asciiTheme="minorHAnsi" w:hAnsiTheme="minorHAnsi" w:cs="Arial"/>
        </w:rPr>
      </w:pPr>
      <w:r w:rsidRPr="009F1A6F">
        <w:rPr>
          <w:rFonts w:asciiTheme="minorHAnsi" w:hAnsiTheme="minorHAnsi" w:cs="Arial"/>
        </w:rPr>
        <w:t>New Generator Performance Standards approved</w:t>
      </w:r>
      <w:r w:rsidR="00A666FE">
        <w:rPr>
          <w:rFonts w:asciiTheme="minorHAnsi" w:hAnsiTheme="minorHAnsi" w:cs="Arial"/>
        </w:rPr>
        <w:t xml:space="preserve"> by the Utilities Commission</w:t>
      </w:r>
      <w:r w:rsidRPr="009F1A6F">
        <w:rPr>
          <w:rFonts w:asciiTheme="minorHAnsi" w:hAnsiTheme="minorHAnsi" w:cs="Arial"/>
        </w:rPr>
        <w:t xml:space="preserve"> in March 2020 mandate ESS (frequency management) capability for generators, subject to energy source availability. This effectively means that large-scale solar PV may be called on to provide contingency lower frequency control service, but would not have their output constrained to provide contingency raise frequency control service.</w:t>
      </w:r>
      <w:r w:rsidR="006E1F8C">
        <w:rPr>
          <w:rStyle w:val="FootnoteReference"/>
          <w:rFonts w:asciiTheme="minorHAnsi" w:hAnsiTheme="minorHAnsi" w:cs="Arial"/>
        </w:rPr>
        <w:footnoteReference w:id="25"/>
      </w:r>
    </w:p>
    <w:p w14:paraId="20CB8890" w14:textId="06C717D7" w:rsidR="00CB560D" w:rsidRPr="00CB560D" w:rsidRDefault="00660DDB" w:rsidP="00CB560D">
      <w:pPr>
        <w:pStyle w:val="Heading2"/>
        <w:keepNext/>
        <w:rPr>
          <w:lang w:eastAsia="en-AU"/>
        </w:rPr>
      </w:pPr>
      <w:bookmarkStart w:id="20" w:name="_Toc42779163"/>
      <w:r>
        <w:rPr>
          <w:lang w:eastAsia="en-AU"/>
        </w:rPr>
        <w:t>C</w:t>
      </w:r>
      <w:r w:rsidR="00CB560D" w:rsidRPr="00CB560D">
        <w:rPr>
          <w:lang w:eastAsia="en-AU"/>
        </w:rPr>
        <w:t>ase for change</w:t>
      </w:r>
      <w:bookmarkEnd w:id="20"/>
    </w:p>
    <w:p w14:paraId="3B42B8C8" w14:textId="4F5EF18C" w:rsidR="00CB560D" w:rsidRPr="009F1A6F" w:rsidRDefault="00CB560D" w:rsidP="00CB560D">
      <w:pPr>
        <w:rPr>
          <w:rFonts w:asciiTheme="minorHAnsi" w:hAnsiTheme="minorHAnsi" w:cs="Arial"/>
        </w:rPr>
      </w:pPr>
      <w:r w:rsidRPr="009F1A6F">
        <w:rPr>
          <w:rFonts w:asciiTheme="minorHAnsi" w:hAnsiTheme="minorHAnsi" w:cs="Arial"/>
        </w:rPr>
        <w:t>The current framework excludes private proponents from providing potentially cheaper and more innovative ESS. Market provision of ESS would expose Territory Generation to competitive tension and promote provision of more cost and technology competitive supply, putting downward pressure on electricity costs for the benefit of consumers</w:t>
      </w:r>
      <w:r w:rsidR="006E1F8C">
        <w:rPr>
          <w:rFonts w:asciiTheme="minorHAnsi" w:hAnsiTheme="minorHAnsi" w:cs="Arial"/>
        </w:rPr>
        <w:t>.</w:t>
      </w:r>
    </w:p>
    <w:p w14:paraId="09B79A8A" w14:textId="77777777" w:rsidR="00CB560D" w:rsidRPr="009F1A6F" w:rsidRDefault="00CB560D" w:rsidP="008218E4">
      <w:pPr>
        <w:keepNext/>
        <w:rPr>
          <w:rFonts w:asciiTheme="minorHAnsi" w:hAnsiTheme="minorHAnsi" w:cs="Arial"/>
        </w:rPr>
      </w:pPr>
      <w:r w:rsidRPr="009F1A6F">
        <w:rPr>
          <w:rFonts w:asciiTheme="minorHAnsi" w:hAnsiTheme="minorHAnsi" w:cs="Arial"/>
        </w:rPr>
        <w:lastRenderedPageBreak/>
        <w:t xml:space="preserve">In addition, in the context of the Generator Performance Standards approved in March 2020 which may require connecting solar farms to install or contract for battery capacity, the market provision of ESS may: </w:t>
      </w:r>
    </w:p>
    <w:p w14:paraId="63B0575A" w14:textId="77777777" w:rsidR="00CB560D" w:rsidRPr="009F1A6F" w:rsidRDefault="00CB560D" w:rsidP="009F1A6F">
      <w:pPr>
        <w:pStyle w:val="ListParagraph"/>
        <w:numPr>
          <w:ilvl w:val="0"/>
          <w:numId w:val="12"/>
        </w:numPr>
        <w:spacing w:before="200"/>
        <w:ind w:left="426"/>
        <w:rPr>
          <w:rFonts w:cs="Arial"/>
        </w:rPr>
      </w:pPr>
      <w:r w:rsidRPr="009F1A6F">
        <w:rPr>
          <w:rFonts w:cs="Arial"/>
        </w:rPr>
        <w:t>increase revenue opportunities for solar farms, because batteries required to deliver firming requirements could also be deployed to provide ESS under competitive arrangements; and/or</w:t>
      </w:r>
    </w:p>
    <w:p w14:paraId="7F1412E0" w14:textId="77777777" w:rsidR="00CB560D" w:rsidRPr="009F1A6F" w:rsidRDefault="00CB560D" w:rsidP="009F1A6F">
      <w:pPr>
        <w:pStyle w:val="ListParagraph"/>
        <w:numPr>
          <w:ilvl w:val="0"/>
          <w:numId w:val="12"/>
        </w:numPr>
        <w:spacing w:before="200"/>
        <w:ind w:left="426"/>
        <w:rPr>
          <w:rFonts w:cs="Arial"/>
        </w:rPr>
      </w:pPr>
      <w:proofErr w:type="gramStart"/>
      <w:r w:rsidRPr="009F1A6F">
        <w:rPr>
          <w:rFonts w:cs="Arial"/>
        </w:rPr>
        <w:t>reduce</w:t>
      </w:r>
      <w:proofErr w:type="gramEnd"/>
      <w:r w:rsidRPr="009F1A6F">
        <w:rPr>
          <w:rFonts w:cs="Arial"/>
        </w:rPr>
        <w:t xml:space="preserve"> the cost of contracting battery capacity, as a centralised provider would have opportunity to also benefit from potential ESS revenue streams.</w:t>
      </w:r>
    </w:p>
    <w:p w14:paraId="40250CE4" w14:textId="77777777" w:rsidR="00CB560D" w:rsidRPr="00CB560D" w:rsidRDefault="00CB560D" w:rsidP="00CB560D">
      <w:pPr>
        <w:pStyle w:val="Heading2"/>
        <w:keepNext/>
        <w:rPr>
          <w:lang w:eastAsia="en-AU"/>
        </w:rPr>
      </w:pPr>
      <w:bookmarkStart w:id="21" w:name="_Toc42779164"/>
      <w:r w:rsidRPr="00CB560D">
        <w:rPr>
          <w:lang w:eastAsia="en-AU"/>
        </w:rPr>
        <w:t>Issues</w:t>
      </w:r>
      <w:bookmarkEnd w:id="21"/>
    </w:p>
    <w:p w14:paraId="686C67DC" w14:textId="08656C91" w:rsidR="00CB560D" w:rsidRPr="009F1A6F" w:rsidRDefault="00CB560D" w:rsidP="00BE0579">
      <w:pPr>
        <w:pStyle w:val="Heading3"/>
      </w:pPr>
      <w:r w:rsidRPr="009F1A6F">
        <w:t>Trade-offs between costs and benefits from competition</w:t>
      </w:r>
    </w:p>
    <w:p w14:paraId="21D94561" w14:textId="311B2680" w:rsidR="00CB560D" w:rsidRPr="009F1A6F" w:rsidRDefault="00CB560D" w:rsidP="00CB560D">
      <w:pPr>
        <w:rPr>
          <w:rFonts w:asciiTheme="minorHAnsi" w:hAnsiTheme="minorHAnsi" w:cs="Arial"/>
        </w:rPr>
      </w:pPr>
      <w:r w:rsidRPr="009F1A6F">
        <w:rPr>
          <w:rFonts w:asciiTheme="minorHAnsi" w:hAnsiTheme="minorHAnsi" w:cs="Arial"/>
        </w:rPr>
        <w:t xml:space="preserve">There is a trade-off between the cost of developing and administering the service framework and the benefits of competition. Wholesale spot market systems are complex and costly to develop and administer but enable </w:t>
      </w:r>
      <w:r w:rsidR="006E1F8C">
        <w:rPr>
          <w:rFonts w:asciiTheme="minorHAnsi" w:hAnsiTheme="minorHAnsi" w:cs="Arial"/>
        </w:rPr>
        <w:t>frequent market testing and</w:t>
      </w:r>
      <w:r w:rsidRPr="009F1A6F">
        <w:rPr>
          <w:rFonts w:asciiTheme="minorHAnsi" w:hAnsiTheme="minorHAnsi" w:cs="Arial"/>
        </w:rPr>
        <w:t xml:space="preserve"> generate </w:t>
      </w:r>
      <w:r w:rsidR="006E1F8C">
        <w:rPr>
          <w:rFonts w:asciiTheme="minorHAnsi" w:hAnsiTheme="minorHAnsi" w:cs="Arial"/>
        </w:rPr>
        <w:t xml:space="preserve">high levels of </w:t>
      </w:r>
      <w:r w:rsidRPr="009F1A6F">
        <w:rPr>
          <w:rFonts w:asciiTheme="minorHAnsi" w:hAnsiTheme="minorHAnsi" w:cs="Arial"/>
        </w:rPr>
        <w:t xml:space="preserve">competitive tension. At the other end of the spectrum, price regulation and mandated provision </w:t>
      </w:r>
      <w:r w:rsidR="00576CFE">
        <w:rPr>
          <w:rFonts w:asciiTheme="minorHAnsi" w:hAnsiTheme="minorHAnsi" w:cs="Arial"/>
        </w:rPr>
        <w:t>are</w:t>
      </w:r>
      <w:r w:rsidRPr="009F1A6F">
        <w:rPr>
          <w:rFonts w:asciiTheme="minorHAnsi" w:hAnsiTheme="minorHAnsi" w:cs="Arial"/>
        </w:rPr>
        <w:t xml:space="preserve"> relatively simple to implement, but </w:t>
      </w:r>
      <w:r w:rsidR="00576CFE">
        <w:rPr>
          <w:rFonts w:asciiTheme="minorHAnsi" w:hAnsiTheme="minorHAnsi" w:cs="Arial"/>
        </w:rPr>
        <w:t>forgo</w:t>
      </w:r>
      <w:r w:rsidR="0056586C">
        <w:rPr>
          <w:rFonts w:asciiTheme="minorHAnsi" w:hAnsiTheme="minorHAnsi" w:cs="Arial"/>
        </w:rPr>
        <w:t xml:space="preserve"> benefits from market testing and </w:t>
      </w:r>
      <w:r w:rsidRPr="009F1A6F">
        <w:rPr>
          <w:rFonts w:asciiTheme="minorHAnsi" w:hAnsiTheme="minorHAnsi" w:cs="Arial"/>
        </w:rPr>
        <w:t>competitive tension</w:t>
      </w:r>
      <w:r w:rsidR="0056586C">
        <w:rPr>
          <w:rFonts w:asciiTheme="minorHAnsi" w:hAnsiTheme="minorHAnsi" w:cs="Arial"/>
        </w:rPr>
        <w:t>.</w:t>
      </w:r>
    </w:p>
    <w:p w14:paraId="6AE4CAB9" w14:textId="4929CB20" w:rsidR="00CB560D" w:rsidRPr="009F1A6F" w:rsidRDefault="00CB560D" w:rsidP="00CB560D">
      <w:pPr>
        <w:rPr>
          <w:rFonts w:asciiTheme="minorHAnsi" w:hAnsiTheme="minorHAnsi" w:cs="Arial"/>
        </w:rPr>
      </w:pPr>
      <w:r w:rsidRPr="009F1A6F">
        <w:rPr>
          <w:rFonts w:asciiTheme="minorHAnsi" w:hAnsiTheme="minorHAnsi" w:cs="Arial"/>
        </w:rPr>
        <w:t xml:space="preserve">Depending on the type of ESS, different service provision frameworks may be appropriate. In the NEM, for example, there are eight separate spot markets for Frequency Control Ancillary Services, but Network Support and Control Ancillary Services and System Restart Ancillary Services are procured by </w:t>
      </w:r>
      <w:r w:rsidR="00DF3424">
        <w:rPr>
          <w:rFonts w:asciiTheme="minorHAnsi" w:hAnsiTheme="minorHAnsi" w:cs="Arial"/>
        </w:rPr>
        <w:t>the Australian Energy Market Operator</w:t>
      </w:r>
      <w:r w:rsidRPr="009F1A6F">
        <w:rPr>
          <w:rFonts w:asciiTheme="minorHAnsi" w:hAnsiTheme="minorHAnsi" w:cs="Arial"/>
        </w:rPr>
        <w:t xml:space="preserve"> under contract. In the WEM, Load Following Ancillary Service (related to frequency management) is procured via a spot market, but all other ESS</w:t>
      </w:r>
      <w:r w:rsidR="006A2765">
        <w:rPr>
          <w:rFonts w:asciiTheme="minorHAnsi" w:hAnsiTheme="minorHAnsi" w:cs="Arial"/>
        </w:rPr>
        <w:t xml:space="preserve"> not provided by the default provider</w:t>
      </w:r>
      <w:r w:rsidRPr="009F1A6F">
        <w:rPr>
          <w:rFonts w:asciiTheme="minorHAnsi" w:hAnsiTheme="minorHAnsi" w:cs="Arial"/>
        </w:rPr>
        <w:t xml:space="preserve"> are procured under contract arrangements</w:t>
      </w:r>
      <w:r w:rsidR="00891B5E">
        <w:rPr>
          <w:rFonts w:asciiTheme="minorHAnsi" w:hAnsiTheme="minorHAnsi" w:cs="Arial"/>
        </w:rPr>
        <w:t>.</w:t>
      </w:r>
    </w:p>
    <w:p w14:paraId="66421E68" w14:textId="1FDFBC6D" w:rsidR="00CB560D" w:rsidRPr="009F1A6F" w:rsidRDefault="00576CFE" w:rsidP="00CB560D">
      <w:pPr>
        <w:rPr>
          <w:rFonts w:asciiTheme="minorHAnsi" w:hAnsiTheme="minorHAnsi" w:cs="Arial"/>
        </w:rPr>
      </w:pPr>
      <w:r>
        <w:rPr>
          <w:rFonts w:asciiTheme="minorHAnsi" w:hAnsiTheme="minorHAnsi" w:cs="Arial"/>
        </w:rPr>
        <w:t>Although</w:t>
      </w:r>
      <w:r w:rsidR="00CB560D" w:rsidRPr="009F1A6F">
        <w:rPr>
          <w:rFonts w:asciiTheme="minorHAnsi" w:hAnsiTheme="minorHAnsi" w:cs="Arial"/>
        </w:rPr>
        <w:t xml:space="preserve"> some </w:t>
      </w:r>
      <w:r w:rsidR="006A2765">
        <w:rPr>
          <w:rFonts w:asciiTheme="minorHAnsi" w:hAnsiTheme="minorHAnsi" w:cs="Arial"/>
        </w:rPr>
        <w:t>ESS</w:t>
      </w:r>
      <w:r w:rsidR="00CB560D" w:rsidRPr="009F1A6F">
        <w:rPr>
          <w:rFonts w:asciiTheme="minorHAnsi" w:hAnsiTheme="minorHAnsi" w:cs="Arial"/>
        </w:rPr>
        <w:t xml:space="preserve"> may be appropriate</w:t>
      </w:r>
      <w:r>
        <w:rPr>
          <w:rFonts w:asciiTheme="minorHAnsi" w:hAnsiTheme="minorHAnsi" w:cs="Arial"/>
        </w:rPr>
        <w:t>ly procured by the</w:t>
      </w:r>
      <w:r w:rsidR="00CB560D" w:rsidRPr="009F1A6F">
        <w:rPr>
          <w:rFonts w:asciiTheme="minorHAnsi" w:hAnsiTheme="minorHAnsi" w:cs="Arial"/>
        </w:rPr>
        <w:t xml:space="preserve"> System Control</w:t>
      </w:r>
      <w:r>
        <w:rPr>
          <w:rFonts w:asciiTheme="minorHAnsi" w:hAnsiTheme="minorHAnsi" w:cs="Arial"/>
        </w:rPr>
        <w:t>ler</w:t>
      </w:r>
      <w:r w:rsidR="00CB560D" w:rsidRPr="009F1A6F">
        <w:rPr>
          <w:rFonts w:asciiTheme="minorHAnsi" w:hAnsiTheme="minorHAnsi" w:cs="Arial"/>
        </w:rPr>
        <w:t xml:space="preserve"> </w:t>
      </w:r>
      <w:r w:rsidR="00B00031">
        <w:rPr>
          <w:rFonts w:asciiTheme="minorHAnsi" w:hAnsiTheme="minorHAnsi" w:cs="Arial"/>
        </w:rPr>
        <w:t>through a</w:t>
      </w:r>
      <w:r>
        <w:rPr>
          <w:rFonts w:asciiTheme="minorHAnsi" w:hAnsiTheme="minorHAnsi" w:cs="Arial"/>
        </w:rPr>
        <w:t>n open</w:t>
      </w:r>
      <w:r w:rsidR="00B00031">
        <w:rPr>
          <w:rFonts w:asciiTheme="minorHAnsi" w:hAnsiTheme="minorHAnsi" w:cs="Arial"/>
        </w:rPr>
        <w:t xml:space="preserve"> </w:t>
      </w:r>
      <w:r w:rsidR="00CB560D" w:rsidRPr="009F1A6F">
        <w:rPr>
          <w:rFonts w:asciiTheme="minorHAnsi" w:hAnsiTheme="minorHAnsi" w:cs="Arial"/>
        </w:rPr>
        <w:t xml:space="preserve">market process, such as where the System Controller can be confident that providers other than Territory Generation </w:t>
      </w:r>
      <w:r w:rsidR="0056586C">
        <w:rPr>
          <w:rFonts w:asciiTheme="minorHAnsi" w:hAnsiTheme="minorHAnsi" w:cs="Arial"/>
        </w:rPr>
        <w:t>exist</w:t>
      </w:r>
      <w:r w:rsidR="00CB560D" w:rsidRPr="009F1A6F">
        <w:rPr>
          <w:rFonts w:asciiTheme="minorHAnsi" w:hAnsiTheme="minorHAnsi" w:cs="Arial"/>
        </w:rPr>
        <w:t xml:space="preserve">, there could also be instances where open market procurement has adverse consequences, such as where Territory Generation is clearly the lowest cost provider and a market approach is inefficient and costly for both </w:t>
      </w:r>
      <w:r w:rsidR="0056586C">
        <w:rPr>
          <w:rFonts w:asciiTheme="minorHAnsi" w:hAnsiTheme="minorHAnsi" w:cs="Arial"/>
        </w:rPr>
        <w:t xml:space="preserve">the </w:t>
      </w:r>
      <w:r w:rsidR="00CB560D" w:rsidRPr="009F1A6F">
        <w:rPr>
          <w:rFonts w:asciiTheme="minorHAnsi" w:hAnsiTheme="minorHAnsi" w:cs="Arial"/>
        </w:rPr>
        <w:t>System Control</w:t>
      </w:r>
      <w:r w:rsidR="0056586C">
        <w:rPr>
          <w:rFonts w:asciiTheme="minorHAnsi" w:hAnsiTheme="minorHAnsi" w:cs="Arial"/>
        </w:rPr>
        <w:t>ler</w:t>
      </w:r>
      <w:r w:rsidR="00CB560D" w:rsidRPr="009F1A6F">
        <w:rPr>
          <w:rFonts w:asciiTheme="minorHAnsi" w:hAnsiTheme="minorHAnsi" w:cs="Arial"/>
        </w:rPr>
        <w:t xml:space="preserve"> and private sector service providers.</w:t>
      </w:r>
    </w:p>
    <w:p w14:paraId="119557B9" w14:textId="77777777" w:rsidR="00CB560D" w:rsidRPr="009F1A6F" w:rsidRDefault="00CB560D" w:rsidP="00BE0579">
      <w:pPr>
        <w:pStyle w:val="Heading3"/>
      </w:pPr>
      <w:r w:rsidRPr="009F1A6F">
        <w:t>Coordination with energy dispatch</w:t>
      </w:r>
    </w:p>
    <w:p w14:paraId="295302D0" w14:textId="1ED16207" w:rsidR="00312857" w:rsidRDefault="00CB560D" w:rsidP="00CB560D">
      <w:pPr>
        <w:rPr>
          <w:rFonts w:asciiTheme="minorHAnsi" w:hAnsiTheme="minorHAnsi" w:cs="Arial"/>
        </w:rPr>
      </w:pPr>
      <w:r w:rsidRPr="009F1A6F">
        <w:rPr>
          <w:rFonts w:asciiTheme="minorHAnsi" w:hAnsiTheme="minorHAnsi" w:cs="Arial"/>
        </w:rPr>
        <w:t xml:space="preserve">Another important consideration for the market provision of ESS, are </w:t>
      </w:r>
      <w:r w:rsidR="00FD08CA">
        <w:rPr>
          <w:rFonts w:asciiTheme="minorHAnsi" w:hAnsiTheme="minorHAnsi" w:cs="Arial"/>
        </w:rPr>
        <w:t xml:space="preserve">the </w:t>
      </w:r>
      <w:r w:rsidRPr="009F1A6F">
        <w:rPr>
          <w:rFonts w:asciiTheme="minorHAnsi" w:hAnsiTheme="minorHAnsi" w:cs="Arial"/>
        </w:rPr>
        <w:t>processes to manage the co</w:t>
      </w:r>
      <w:r w:rsidR="00FD08CA">
        <w:rPr>
          <w:rFonts w:asciiTheme="minorHAnsi" w:hAnsiTheme="minorHAnsi" w:cs="Arial"/>
        </w:rPr>
        <w:noBreakHyphen/>
      </w:r>
      <w:r w:rsidRPr="009F1A6F">
        <w:rPr>
          <w:rFonts w:asciiTheme="minorHAnsi" w:hAnsiTheme="minorHAnsi" w:cs="Arial"/>
        </w:rPr>
        <w:t>optimisation of dispatch of machines for ESS and electricity production.</w:t>
      </w:r>
    </w:p>
    <w:p w14:paraId="709FBEA6" w14:textId="63625A92" w:rsidR="006C0881" w:rsidRDefault="006C0881" w:rsidP="00CB560D">
      <w:pPr>
        <w:rPr>
          <w:rFonts w:asciiTheme="minorHAnsi" w:hAnsiTheme="minorHAnsi" w:cs="Arial"/>
        </w:rPr>
      </w:pPr>
      <w:r w:rsidRPr="006C0881">
        <w:rPr>
          <w:rFonts w:asciiTheme="minorHAnsi" w:hAnsiTheme="minorHAnsi" w:cs="Arial"/>
        </w:rPr>
        <w:t xml:space="preserve">As the mix of generation technologies and variability in system facing demand (i.e. demand after accounting for behind-the-meter roof top solar PV and associated batteries) becomes more complex and changes over time, decisions about which units to have on line and how to dispatch energy and </w:t>
      </w:r>
      <w:r w:rsidR="00A7700D">
        <w:rPr>
          <w:rFonts w:asciiTheme="minorHAnsi" w:hAnsiTheme="minorHAnsi" w:cs="Arial"/>
        </w:rPr>
        <w:t>ESS</w:t>
      </w:r>
      <w:r w:rsidRPr="006C0881">
        <w:rPr>
          <w:rFonts w:asciiTheme="minorHAnsi" w:hAnsiTheme="minorHAnsi" w:cs="Arial"/>
        </w:rPr>
        <w:t xml:space="preserve"> </w:t>
      </w:r>
      <w:r>
        <w:rPr>
          <w:rFonts w:asciiTheme="minorHAnsi" w:hAnsiTheme="minorHAnsi" w:cs="Arial"/>
        </w:rPr>
        <w:t xml:space="preserve">economically </w:t>
      </w:r>
      <w:r w:rsidRPr="006C0881">
        <w:rPr>
          <w:rFonts w:asciiTheme="minorHAnsi" w:hAnsiTheme="minorHAnsi" w:cs="Arial"/>
        </w:rPr>
        <w:t>will become more complex.</w:t>
      </w:r>
    </w:p>
    <w:p w14:paraId="35A9BCD7" w14:textId="7F187074" w:rsidR="00CB560D" w:rsidRPr="009F1A6F" w:rsidRDefault="006C0881" w:rsidP="00CB560D">
      <w:pPr>
        <w:rPr>
          <w:rFonts w:asciiTheme="minorHAnsi" w:hAnsiTheme="minorHAnsi" w:cs="Arial"/>
        </w:rPr>
      </w:pPr>
      <w:r>
        <w:rPr>
          <w:rFonts w:asciiTheme="minorHAnsi" w:hAnsiTheme="minorHAnsi" w:cs="Arial"/>
        </w:rPr>
        <w:t>Changes to the current I-NTEM arrangements for dispatch which</w:t>
      </w:r>
      <w:r w:rsidR="00FD08CA">
        <w:rPr>
          <w:rFonts w:asciiTheme="minorHAnsi" w:hAnsiTheme="minorHAnsi" w:cs="Arial"/>
        </w:rPr>
        <w:t xml:space="preserve"> also</w:t>
      </w:r>
      <w:r>
        <w:rPr>
          <w:rFonts w:asciiTheme="minorHAnsi" w:hAnsiTheme="minorHAnsi" w:cs="Arial"/>
        </w:rPr>
        <w:t xml:space="preserve"> form part of the Northern Territory Electricity Market Priority Reform Program, </w:t>
      </w:r>
      <w:r w:rsidRPr="006C0881">
        <w:rPr>
          <w:rFonts w:asciiTheme="minorHAnsi" w:hAnsiTheme="minorHAnsi" w:cs="Arial"/>
        </w:rPr>
        <w:t>are</w:t>
      </w:r>
      <w:r>
        <w:rPr>
          <w:rFonts w:asciiTheme="minorHAnsi" w:hAnsiTheme="minorHAnsi" w:cs="Arial"/>
        </w:rPr>
        <w:t xml:space="preserve"> an important</w:t>
      </w:r>
      <w:r w:rsidRPr="006C0881">
        <w:rPr>
          <w:rFonts w:asciiTheme="minorHAnsi" w:hAnsiTheme="minorHAnsi" w:cs="Arial"/>
        </w:rPr>
        <w:t xml:space="preserve"> pre</w:t>
      </w:r>
      <w:r>
        <w:rPr>
          <w:rFonts w:asciiTheme="minorHAnsi" w:hAnsiTheme="minorHAnsi" w:cs="Arial"/>
        </w:rPr>
        <w:t>cedent for this review of ESS</w:t>
      </w:r>
      <w:r w:rsidR="00A7700D">
        <w:rPr>
          <w:rFonts w:asciiTheme="minorHAnsi" w:hAnsiTheme="minorHAnsi" w:cs="Arial"/>
        </w:rPr>
        <w:t xml:space="preserve"> arrangements</w:t>
      </w:r>
      <w:r>
        <w:rPr>
          <w:rFonts w:asciiTheme="minorHAnsi" w:hAnsiTheme="minorHAnsi" w:cs="Arial"/>
        </w:rPr>
        <w:t>.</w:t>
      </w:r>
    </w:p>
    <w:tbl>
      <w:tblPr>
        <w:tblStyle w:val="TableGrid"/>
        <w:tblW w:w="0" w:type="auto"/>
        <w:tblLook w:val="04A0" w:firstRow="1" w:lastRow="0" w:firstColumn="1" w:lastColumn="0" w:noHBand="0" w:noVBand="1"/>
      </w:tblPr>
      <w:tblGrid>
        <w:gridCol w:w="10308"/>
      </w:tblGrid>
      <w:tr w:rsidR="00CB560D" w14:paraId="5BBD2687" w14:textId="77777777" w:rsidTr="008218E4">
        <w:tc>
          <w:tcPr>
            <w:tcW w:w="0" w:type="auto"/>
          </w:tcPr>
          <w:p w14:paraId="4BBE4E95" w14:textId="77777777" w:rsidR="00CB560D" w:rsidRPr="00223DB3" w:rsidRDefault="009F1A6F" w:rsidP="008218E4">
            <w:pPr>
              <w:keepNext/>
              <w:spacing w:before="120"/>
              <w:rPr>
                <w:rFonts w:asciiTheme="minorHAnsi" w:hAnsiTheme="minorHAnsi" w:cs="Arial"/>
                <w:b/>
              </w:rPr>
            </w:pPr>
            <w:r w:rsidRPr="00223DB3">
              <w:rPr>
                <w:rFonts w:asciiTheme="minorHAnsi" w:hAnsiTheme="minorHAnsi" w:cs="Arial"/>
                <w:b/>
              </w:rPr>
              <w:lastRenderedPageBreak/>
              <w:t>Question 4</w:t>
            </w:r>
          </w:p>
          <w:p w14:paraId="5CD32E4B" w14:textId="77777777" w:rsidR="006430D7" w:rsidRPr="00223DB3" w:rsidRDefault="006430D7" w:rsidP="009F1A6F">
            <w:pPr>
              <w:pStyle w:val="ListParagraph"/>
              <w:numPr>
                <w:ilvl w:val="0"/>
                <w:numId w:val="19"/>
              </w:numPr>
              <w:spacing w:before="120"/>
              <w:rPr>
                <w:rFonts w:asciiTheme="minorHAnsi" w:eastAsia="Calibri" w:hAnsiTheme="minorHAnsi" w:cs="Arial"/>
                <w:iCs w:val="0"/>
              </w:rPr>
            </w:pPr>
            <w:r w:rsidRPr="00223DB3">
              <w:rPr>
                <w:rFonts w:asciiTheme="minorHAnsi" w:eastAsia="Calibri" w:hAnsiTheme="minorHAnsi" w:cs="Arial"/>
                <w:iCs w:val="0"/>
              </w:rPr>
              <w:t>What types of ESS a</w:t>
            </w:r>
            <w:r w:rsidR="004614F1" w:rsidRPr="00223DB3">
              <w:rPr>
                <w:rFonts w:asciiTheme="minorHAnsi" w:eastAsia="Calibri" w:hAnsiTheme="minorHAnsi" w:cs="Arial"/>
                <w:iCs w:val="0"/>
              </w:rPr>
              <w:t>re most suitable for market</w:t>
            </w:r>
            <w:r w:rsidRPr="00223DB3">
              <w:rPr>
                <w:rFonts w:asciiTheme="minorHAnsi" w:eastAsia="Calibri" w:hAnsiTheme="minorHAnsi" w:cs="Arial"/>
                <w:iCs w:val="0"/>
              </w:rPr>
              <w:t xml:space="preserve"> provision and in which </w:t>
            </w:r>
            <w:r w:rsidR="004614F1" w:rsidRPr="00223DB3">
              <w:rPr>
                <w:rFonts w:asciiTheme="minorHAnsi" w:eastAsia="Calibri" w:hAnsiTheme="minorHAnsi" w:cs="Arial"/>
                <w:iCs w:val="0"/>
              </w:rPr>
              <w:t>systems? Are there certain categories</w:t>
            </w:r>
            <w:r w:rsidRPr="00223DB3">
              <w:rPr>
                <w:rFonts w:asciiTheme="minorHAnsi" w:eastAsia="Calibri" w:hAnsiTheme="minorHAnsi" w:cs="Arial"/>
                <w:iCs w:val="0"/>
              </w:rPr>
              <w:t xml:space="preserve"> of ESS which would benefit from continued Territory Generation delivery and why?</w:t>
            </w:r>
          </w:p>
          <w:p w14:paraId="2CA3E7C3" w14:textId="2FBE2D62" w:rsidR="004614F1" w:rsidRPr="00223DB3" w:rsidRDefault="00CB560D" w:rsidP="004614F1">
            <w:pPr>
              <w:pStyle w:val="ListParagraph"/>
              <w:numPr>
                <w:ilvl w:val="0"/>
                <w:numId w:val="19"/>
              </w:numPr>
              <w:spacing w:before="120"/>
              <w:rPr>
                <w:rFonts w:asciiTheme="minorHAnsi" w:eastAsia="Calibri" w:hAnsiTheme="minorHAnsi" w:cs="Arial"/>
                <w:iCs w:val="0"/>
              </w:rPr>
            </w:pPr>
            <w:r w:rsidRPr="00223DB3">
              <w:rPr>
                <w:rFonts w:asciiTheme="minorHAnsi" w:eastAsia="Calibri" w:hAnsiTheme="minorHAnsi" w:cs="Arial"/>
                <w:iCs w:val="0"/>
              </w:rPr>
              <w:t>What are the</w:t>
            </w:r>
            <w:r w:rsidR="006430D7" w:rsidRPr="00223DB3">
              <w:rPr>
                <w:rFonts w:asciiTheme="minorHAnsi" w:eastAsia="Calibri" w:hAnsiTheme="minorHAnsi" w:cs="Arial"/>
                <w:iCs w:val="0"/>
              </w:rPr>
              <w:t xml:space="preserve"> likely</w:t>
            </w:r>
            <w:r w:rsidRPr="00223DB3">
              <w:rPr>
                <w:rFonts w:asciiTheme="minorHAnsi" w:eastAsia="Calibri" w:hAnsiTheme="minorHAnsi" w:cs="Arial"/>
                <w:iCs w:val="0"/>
              </w:rPr>
              <w:t xml:space="preserve"> costs and benefits of spot market procurement of</w:t>
            </w:r>
            <w:r w:rsidR="006430D7" w:rsidRPr="00223DB3">
              <w:rPr>
                <w:rFonts w:asciiTheme="minorHAnsi" w:eastAsia="Calibri" w:hAnsiTheme="minorHAnsi" w:cs="Arial"/>
                <w:iCs w:val="0"/>
              </w:rPr>
              <w:t xml:space="preserve"> certain types of</w:t>
            </w:r>
            <w:r w:rsidRPr="00223DB3">
              <w:rPr>
                <w:rFonts w:asciiTheme="minorHAnsi" w:eastAsia="Calibri" w:hAnsiTheme="minorHAnsi" w:cs="Arial"/>
                <w:iCs w:val="0"/>
              </w:rPr>
              <w:t xml:space="preserve"> ESS in any of the Territory’s electricity systems</w:t>
            </w:r>
            <w:r w:rsidR="006430D7" w:rsidRPr="00223DB3">
              <w:rPr>
                <w:rFonts w:asciiTheme="minorHAnsi" w:eastAsia="Calibri" w:hAnsiTheme="minorHAnsi" w:cs="Arial"/>
                <w:iCs w:val="0"/>
              </w:rPr>
              <w:t>?</w:t>
            </w:r>
          </w:p>
          <w:p w14:paraId="24C60511" w14:textId="4F398BF9" w:rsidR="00CB560D" w:rsidRPr="0021322F" w:rsidRDefault="004614F1" w:rsidP="0021322F">
            <w:pPr>
              <w:pStyle w:val="ListParagraph"/>
              <w:numPr>
                <w:ilvl w:val="0"/>
                <w:numId w:val="19"/>
              </w:numPr>
              <w:spacing w:before="120"/>
              <w:rPr>
                <w:rFonts w:ascii="Arial" w:hAnsi="Arial"/>
              </w:rPr>
            </w:pPr>
            <w:r w:rsidRPr="00223DB3">
              <w:rPr>
                <w:rFonts w:asciiTheme="minorHAnsi" w:hAnsiTheme="minorHAnsi" w:cs="Arial"/>
              </w:rPr>
              <w:t>What service provision framework would deliver the most appropriate balance between costs and benefits for each category of ESS in each regulated electricity system?</w:t>
            </w:r>
          </w:p>
        </w:tc>
      </w:tr>
    </w:tbl>
    <w:p w14:paraId="6A7BB311" w14:textId="77777777" w:rsidR="00CB560D" w:rsidRDefault="00CB560D">
      <w:pPr>
        <w:rPr>
          <w:lang w:eastAsia="en-AU"/>
        </w:rPr>
      </w:pPr>
      <w:r>
        <w:rPr>
          <w:lang w:eastAsia="en-AU"/>
        </w:rPr>
        <w:br w:type="page"/>
      </w:r>
    </w:p>
    <w:p w14:paraId="26918213" w14:textId="77777777" w:rsidR="00891B5E" w:rsidRPr="00891B5E" w:rsidRDefault="00C10627" w:rsidP="008218E4">
      <w:pPr>
        <w:pStyle w:val="Heading1"/>
        <w:rPr>
          <w:lang w:eastAsia="en-AU"/>
        </w:rPr>
      </w:pPr>
      <w:bookmarkStart w:id="22" w:name="_Toc42779165"/>
      <w:r>
        <w:rPr>
          <w:lang w:eastAsia="en-AU"/>
        </w:rPr>
        <w:lastRenderedPageBreak/>
        <w:t>Administered p</w:t>
      </w:r>
      <w:r w:rsidR="00891B5E" w:rsidRPr="008218E4">
        <w:rPr>
          <w:lang w:eastAsia="en-AU"/>
        </w:rPr>
        <w:t xml:space="preserve">ricing </w:t>
      </w:r>
      <w:r>
        <w:rPr>
          <w:lang w:eastAsia="en-AU"/>
        </w:rPr>
        <w:t>arrangements</w:t>
      </w:r>
      <w:r w:rsidR="0049274B">
        <w:rPr>
          <w:lang w:eastAsia="en-AU"/>
        </w:rPr>
        <w:t xml:space="preserve"> and market power mitigation</w:t>
      </w:r>
      <w:bookmarkEnd w:id="22"/>
    </w:p>
    <w:p w14:paraId="3737D6CA" w14:textId="77777777" w:rsidR="00891D3C" w:rsidRDefault="00B61AB1" w:rsidP="00C10627">
      <w:pPr>
        <w:rPr>
          <w:rFonts w:asciiTheme="minorHAnsi" w:hAnsiTheme="minorHAnsi" w:cs="Arial"/>
        </w:rPr>
      </w:pPr>
      <w:r>
        <w:rPr>
          <w:rFonts w:asciiTheme="minorHAnsi" w:hAnsiTheme="minorHAnsi" w:cs="Arial"/>
        </w:rPr>
        <w:t xml:space="preserve">The </w:t>
      </w:r>
      <w:r w:rsidR="006D4BE2">
        <w:rPr>
          <w:rFonts w:asciiTheme="minorHAnsi" w:hAnsiTheme="minorHAnsi" w:cs="Arial"/>
        </w:rPr>
        <w:t xml:space="preserve">Territory’s </w:t>
      </w:r>
      <w:r w:rsidR="001B41E5">
        <w:rPr>
          <w:rFonts w:asciiTheme="minorHAnsi" w:hAnsiTheme="minorHAnsi" w:cs="Arial"/>
        </w:rPr>
        <w:t>current I-NTEM</w:t>
      </w:r>
      <w:r>
        <w:rPr>
          <w:rFonts w:asciiTheme="minorHAnsi" w:hAnsiTheme="minorHAnsi" w:cs="Arial"/>
        </w:rPr>
        <w:t xml:space="preserve"> arrangements</w:t>
      </w:r>
      <w:r w:rsidR="006D4BE2">
        <w:rPr>
          <w:rFonts w:asciiTheme="minorHAnsi" w:hAnsiTheme="minorHAnsi" w:cs="Arial"/>
        </w:rPr>
        <w:t xml:space="preserve"> include an</w:t>
      </w:r>
      <w:r>
        <w:rPr>
          <w:rFonts w:asciiTheme="minorHAnsi" w:hAnsiTheme="minorHAnsi" w:cs="Arial"/>
        </w:rPr>
        <w:t xml:space="preserve"> administered </w:t>
      </w:r>
      <w:r w:rsidR="006D4BE2">
        <w:rPr>
          <w:rFonts w:asciiTheme="minorHAnsi" w:hAnsiTheme="minorHAnsi" w:cs="Arial"/>
        </w:rPr>
        <w:t>price</w:t>
      </w:r>
      <w:r>
        <w:rPr>
          <w:rFonts w:asciiTheme="minorHAnsi" w:hAnsiTheme="minorHAnsi" w:cs="Arial"/>
        </w:rPr>
        <w:t xml:space="preserve"> </w:t>
      </w:r>
      <w:r w:rsidR="006D4BE2">
        <w:rPr>
          <w:rFonts w:asciiTheme="minorHAnsi" w:hAnsiTheme="minorHAnsi" w:cs="Arial"/>
        </w:rPr>
        <w:t xml:space="preserve">for </w:t>
      </w:r>
      <w:r w:rsidR="001B41E5">
        <w:rPr>
          <w:rFonts w:asciiTheme="minorHAnsi" w:hAnsiTheme="minorHAnsi" w:cs="Arial"/>
        </w:rPr>
        <w:t xml:space="preserve">ESS </w:t>
      </w:r>
      <w:r>
        <w:rPr>
          <w:rFonts w:asciiTheme="minorHAnsi" w:hAnsiTheme="minorHAnsi" w:cs="Arial"/>
        </w:rPr>
        <w:t>provided by Territory Generation</w:t>
      </w:r>
      <w:r w:rsidR="00C00A84">
        <w:rPr>
          <w:rFonts w:asciiTheme="minorHAnsi" w:hAnsiTheme="minorHAnsi" w:cs="Arial"/>
        </w:rPr>
        <w:t xml:space="preserve"> in the Darwin-Katherine system</w:t>
      </w:r>
      <w:r>
        <w:rPr>
          <w:rFonts w:asciiTheme="minorHAnsi" w:hAnsiTheme="minorHAnsi" w:cs="Arial"/>
        </w:rPr>
        <w:t>.</w:t>
      </w:r>
      <w:r w:rsidR="008168FD">
        <w:rPr>
          <w:rFonts w:asciiTheme="minorHAnsi" w:hAnsiTheme="minorHAnsi" w:cs="Arial"/>
        </w:rPr>
        <w:t xml:space="preserve"> The administered price is necessary because </w:t>
      </w:r>
      <w:r w:rsidR="00891D3C">
        <w:rPr>
          <w:rFonts w:asciiTheme="minorHAnsi" w:hAnsiTheme="minorHAnsi" w:cs="Arial"/>
        </w:rPr>
        <w:t>there is no market to determine</w:t>
      </w:r>
      <w:r w:rsidR="008168FD">
        <w:rPr>
          <w:rFonts w:asciiTheme="minorHAnsi" w:hAnsiTheme="minorHAnsi" w:cs="Arial"/>
        </w:rPr>
        <w:t xml:space="preserve"> price</w:t>
      </w:r>
      <w:r w:rsidR="00891D3C">
        <w:rPr>
          <w:rFonts w:asciiTheme="minorHAnsi" w:hAnsiTheme="minorHAnsi" w:cs="Arial"/>
        </w:rPr>
        <w:t>s</w:t>
      </w:r>
      <w:r w:rsidR="008168FD">
        <w:rPr>
          <w:rFonts w:asciiTheme="minorHAnsi" w:hAnsiTheme="minorHAnsi" w:cs="Arial"/>
        </w:rPr>
        <w:t xml:space="preserve"> for ESS. </w:t>
      </w:r>
    </w:p>
    <w:p w14:paraId="7437CC96" w14:textId="77777777" w:rsidR="00FA0BE8" w:rsidRDefault="008168FD" w:rsidP="00C10627">
      <w:pPr>
        <w:rPr>
          <w:rFonts w:asciiTheme="minorHAnsi" w:hAnsiTheme="minorHAnsi" w:cs="Arial"/>
        </w:rPr>
      </w:pPr>
      <w:r>
        <w:rPr>
          <w:rFonts w:asciiTheme="minorHAnsi" w:hAnsiTheme="minorHAnsi" w:cs="Arial"/>
        </w:rPr>
        <w:t>However,</w:t>
      </w:r>
      <w:r w:rsidR="00B61AB1">
        <w:rPr>
          <w:rFonts w:asciiTheme="minorHAnsi" w:hAnsiTheme="minorHAnsi" w:cs="Arial"/>
        </w:rPr>
        <w:t xml:space="preserve"> </w:t>
      </w:r>
      <w:r w:rsidR="0065773E">
        <w:rPr>
          <w:rFonts w:asciiTheme="minorHAnsi" w:hAnsiTheme="minorHAnsi" w:cs="Arial"/>
        </w:rPr>
        <w:t xml:space="preserve">even under </w:t>
      </w:r>
      <w:r>
        <w:rPr>
          <w:rFonts w:asciiTheme="minorHAnsi" w:hAnsiTheme="minorHAnsi" w:cs="Arial"/>
        </w:rPr>
        <w:t>market</w:t>
      </w:r>
      <w:r w:rsidR="0065773E">
        <w:rPr>
          <w:rFonts w:asciiTheme="minorHAnsi" w:hAnsiTheme="minorHAnsi" w:cs="Arial"/>
        </w:rPr>
        <w:t xml:space="preserve"> arrangements for the </w:t>
      </w:r>
      <w:r>
        <w:rPr>
          <w:rFonts w:asciiTheme="minorHAnsi" w:hAnsiTheme="minorHAnsi" w:cs="Arial"/>
        </w:rPr>
        <w:t>provision of ESS, some form of administered pricing</w:t>
      </w:r>
      <w:r w:rsidR="00FA238A">
        <w:rPr>
          <w:rFonts w:asciiTheme="minorHAnsi" w:hAnsiTheme="minorHAnsi" w:cs="Arial"/>
        </w:rPr>
        <w:t xml:space="preserve"> and/</w:t>
      </w:r>
      <w:r w:rsidR="0065773E">
        <w:rPr>
          <w:rFonts w:asciiTheme="minorHAnsi" w:hAnsiTheme="minorHAnsi" w:cs="Arial"/>
        </w:rPr>
        <w:t>or other</w:t>
      </w:r>
      <w:r w:rsidR="00FA238A">
        <w:rPr>
          <w:rFonts w:asciiTheme="minorHAnsi" w:hAnsiTheme="minorHAnsi" w:cs="Arial"/>
        </w:rPr>
        <w:t xml:space="preserve"> market power mitigation measure</w:t>
      </w:r>
      <w:r>
        <w:rPr>
          <w:rFonts w:asciiTheme="minorHAnsi" w:hAnsiTheme="minorHAnsi" w:cs="Arial"/>
        </w:rPr>
        <w:t xml:space="preserve"> for ESS provid</w:t>
      </w:r>
      <w:r w:rsidR="00891D3C">
        <w:rPr>
          <w:rFonts w:asciiTheme="minorHAnsi" w:hAnsiTheme="minorHAnsi" w:cs="Arial"/>
        </w:rPr>
        <w:t>ed by Territory Generation may</w:t>
      </w:r>
      <w:r>
        <w:rPr>
          <w:rFonts w:asciiTheme="minorHAnsi" w:hAnsiTheme="minorHAnsi" w:cs="Arial"/>
        </w:rPr>
        <w:t xml:space="preserve"> be required due to its dominance of the generation sector and</w:t>
      </w:r>
      <w:r w:rsidR="00FA238A">
        <w:rPr>
          <w:rFonts w:asciiTheme="minorHAnsi" w:hAnsiTheme="minorHAnsi" w:cs="Arial"/>
        </w:rPr>
        <w:t xml:space="preserve"> potential</w:t>
      </w:r>
      <w:r>
        <w:rPr>
          <w:rFonts w:asciiTheme="minorHAnsi" w:hAnsiTheme="minorHAnsi" w:cs="Arial"/>
        </w:rPr>
        <w:t xml:space="preserve"> ability or incentive to exercise market power. </w:t>
      </w:r>
    </w:p>
    <w:p w14:paraId="1BB08217" w14:textId="77777777" w:rsidR="0099042A" w:rsidRDefault="005F331E" w:rsidP="00C10627">
      <w:pPr>
        <w:rPr>
          <w:rFonts w:asciiTheme="minorHAnsi" w:hAnsiTheme="minorHAnsi" w:cs="Arial"/>
        </w:rPr>
      </w:pPr>
      <w:r>
        <w:rPr>
          <w:rFonts w:asciiTheme="minorHAnsi" w:hAnsiTheme="minorHAnsi" w:cs="Arial"/>
        </w:rPr>
        <w:t>This review will</w:t>
      </w:r>
      <w:r w:rsidR="0099042A">
        <w:rPr>
          <w:rFonts w:asciiTheme="minorHAnsi" w:hAnsiTheme="minorHAnsi" w:cs="Arial"/>
        </w:rPr>
        <w:t xml:space="preserve"> specifically </w:t>
      </w:r>
      <w:r w:rsidR="00C33EF0">
        <w:rPr>
          <w:rFonts w:asciiTheme="minorHAnsi" w:hAnsiTheme="minorHAnsi" w:cs="Arial"/>
        </w:rPr>
        <w:t>address</w:t>
      </w:r>
      <w:r w:rsidR="0099042A">
        <w:rPr>
          <w:rFonts w:asciiTheme="minorHAnsi" w:hAnsiTheme="minorHAnsi" w:cs="Arial"/>
        </w:rPr>
        <w:t xml:space="preserve"> administered pricing for the provision of ESS by Territory Generation under the current monopoly provision arrangements</w:t>
      </w:r>
      <w:r>
        <w:rPr>
          <w:rFonts w:asciiTheme="minorHAnsi" w:hAnsiTheme="minorHAnsi" w:cs="Arial"/>
        </w:rPr>
        <w:t xml:space="preserve">, and </w:t>
      </w:r>
      <w:r w:rsidR="0099042A">
        <w:rPr>
          <w:rFonts w:asciiTheme="minorHAnsi" w:hAnsiTheme="minorHAnsi" w:cs="Arial"/>
        </w:rPr>
        <w:t>also investigate appropriate pricing and/or</w:t>
      </w:r>
      <w:r w:rsidR="00FA238A">
        <w:rPr>
          <w:rFonts w:asciiTheme="minorHAnsi" w:hAnsiTheme="minorHAnsi" w:cs="Arial"/>
        </w:rPr>
        <w:t xml:space="preserve"> other</w:t>
      </w:r>
      <w:r w:rsidR="0099042A">
        <w:rPr>
          <w:rFonts w:asciiTheme="minorHAnsi" w:hAnsiTheme="minorHAnsi" w:cs="Arial"/>
        </w:rPr>
        <w:t xml:space="preserve"> market </w:t>
      </w:r>
      <w:r>
        <w:rPr>
          <w:rFonts w:asciiTheme="minorHAnsi" w:hAnsiTheme="minorHAnsi" w:cs="Arial"/>
        </w:rPr>
        <w:t xml:space="preserve">power </w:t>
      </w:r>
      <w:r w:rsidR="0099042A">
        <w:rPr>
          <w:rFonts w:asciiTheme="minorHAnsi" w:hAnsiTheme="minorHAnsi" w:cs="Arial"/>
        </w:rPr>
        <w:t>mitigation arra</w:t>
      </w:r>
      <w:r w:rsidR="00FA238A">
        <w:rPr>
          <w:rFonts w:asciiTheme="minorHAnsi" w:hAnsiTheme="minorHAnsi" w:cs="Arial"/>
        </w:rPr>
        <w:t xml:space="preserve">ngements that would be appropriate under a </w:t>
      </w:r>
      <w:r w:rsidR="0099042A">
        <w:rPr>
          <w:rFonts w:asciiTheme="minorHAnsi" w:hAnsiTheme="minorHAnsi" w:cs="Arial"/>
        </w:rPr>
        <w:t>potential competitive market framework.</w:t>
      </w:r>
    </w:p>
    <w:p w14:paraId="5D7B7FE6" w14:textId="77777777" w:rsidR="00B00031" w:rsidRPr="008218E4" w:rsidRDefault="005C76D3" w:rsidP="008218E4">
      <w:pPr>
        <w:pStyle w:val="Heading2"/>
        <w:keepNext/>
        <w:rPr>
          <w:lang w:eastAsia="en-AU"/>
        </w:rPr>
      </w:pPr>
      <w:bookmarkStart w:id="23" w:name="_Toc42779166"/>
      <w:r w:rsidRPr="008218E4">
        <w:rPr>
          <w:lang w:eastAsia="en-AU"/>
        </w:rPr>
        <w:t>Current arrangements</w:t>
      </w:r>
      <w:bookmarkEnd w:id="23"/>
    </w:p>
    <w:p w14:paraId="65E688B3" w14:textId="6DBBAFBD" w:rsidR="00E02A2B" w:rsidRDefault="00E02A2B" w:rsidP="00E02A2B">
      <w:pPr>
        <w:rPr>
          <w:rFonts w:asciiTheme="minorHAnsi" w:hAnsiTheme="minorHAnsi" w:cs="Arial"/>
        </w:rPr>
      </w:pPr>
      <w:r>
        <w:rPr>
          <w:rFonts w:asciiTheme="minorHAnsi" w:hAnsiTheme="minorHAnsi" w:cs="Arial"/>
        </w:rPr>
        <w:t>T</w:t>
      </w:r>
      <w:r w:rsidRPr="009F1A6F">
        <w:rPr>
          <w:rFonts w:asciiTheme="minorHAnsi" w:hAnsiTheme="minorHAnsi" w:cs="Arial"/>
        </w:rPr>
        <w:t>he SCTC makes provision for generators</w:t>
      </w:r>
      <w:r w:rsidR="00AA1F61">
        <w:rPr>
          <w:rFonts w:asciiTheme="minorHAnsi" w:hAnsiTheme="minorHAnsi" w:cs="Arial"/>
        </w:rPr>
        <w:t xml:space="preserve"> in the Darwin-Katherine system</w:t>
      </w:r>
      <w:r w:rsidRPr="009F1A6F">
        <w:rPr>
          <w:rFonts w:asciiTheme="minorHAnsi" w:hAnsiTheme="minorHAnsi" w:cs="Arial"/>
        </w:rPr>
        <w:t xml:space="preserve"> to pay Territory Generation for provision of ESS at a rate of $5.40</w:t>
      </w:r>
      <w:r w:rsidR="002B743A">
        <w:rPr>
          <w:rFonts w:asciiTheme="minorHAnsi" w:hAnsiTheme="minorHAnsi" w:cs="Arial"/>
        </w:rPr>
        <w:t>/</w:t>
      </w:r>
      <w:r w:rsidRPr="009F1A6F">
        <w:rPr>
          <w:rFonts w:asciiTheme="minorHAnsi" w:hAnsiTheme="minorHAnsi" w:cs="Arial"/>
        </w:rPr>
        <w:t>MWh of electricity sent out</w:t>
      </w:r>
      <w:r w:rsidR="00C33EF0">
        <w:rPr>
          <w:rFonts w:asciiTheme="minorHAnsi" w:hAnsiTheme="minorHAnsi" w:cs="Arial"/>
        </w:rPr>
        <w:t>.</w:t>
      </w:r>
    </w:p>
    <w:p w14:paraId="58171551" w14:textId="77777777" w:rsidR="00842614" w:rsidRPr="009F1A6F" w:rsidRDefault="00842614" w:rsidP="00E02A2B">
      <w:pPr>
        <w:rPr>
          <w:rFonts w:asciiTheme="minorHAnsi" w:hAnsiTheme="minorHAnsi" w:cs="Arial"/>
        </w:rPr>
      </w:pPr>
      <w:r>
        <w:rPr>
          <w:rFonts w:asciiTheme="minorHAnsi" w:hAnsiTheme="minorHAnsi" w:cs="Arial"/>
        </w:rPr>
        <w:t>There are no specific arrangements for pricing</w:t>
      </w:r>
      <w:r w:rsidR="00C00A84">
        <w:rPr>
          <w:rFonts w:asciiTheme="minorHAnsi" w:hAnsiTheme="minorHAnsi" w:cs="Arial"/>
        </w:rPr>
        <w:t xml:space="preserve"> or recovery of</w:t>
      </w:r>
      <w:r>
        <w:rPr>
          <w:rFonts w:asciiTheme="minorHAnsi" w:hAnsiTheme="minorHAnsi" w:cs="Arial"/>
        </w:rPr>
        <w:t xml:space="preserve"> ESS in</w:t>
      </w:r>
      <w:r w:rsidR="00C00A84">
        <w:rPr>
          <w:rFonts w:asciiTheme="minorHAnsi" w:hAnsiTheme="minorHAnsi" w:cs="Arial"/>
        </w:rPr>
        <w:t xml:space="preserve"> the</w:t>
      </w:r>
      <w:r>
        <w:rPr>
          <w:rFonts w:asciiTheme="minorHAnsi" w:hAnsiTheme="minorHAnsi" w:cs="Arial"/>
        </w:rPr>
        <w:t xml:space="preserve"> Alice Springs and Tennan</w:t>
      </w:r>
      <w:r w:rsidR="00C00A84">
        <w:rPr>
          <w:rFonts w:asciiTheme="minorHAnsi" w:hAnsiTheme="minorHAnsi" w:cs="Arial"/>
        </w:rPr>
        <w:t>t C</w:t>
      </w:r>
      <w:r>
        <w:rPr>
          <w:rFonts w:asciiTheme="minorHAnsi" w:hAnsiTheme="minorHAnsi" w:cs="Arial"/>
        </w:rPr>
        <w:t>reek</w:t>
      </w:r>
      <w:r w:rsidR="00C00A84">
        <w:rPr>
          <w:rFonts w:asciiTheme="minorHAnsi" w:hAnsiTheme="minorHAnsi" w:cs="Arial"/>
        </w:rPr>
        <w:t xml:space="preserve"> systems</w:t>
      </w:r>
      <w:r w:rsidR="00BB2C36">
        <w:rPr>
          <w:rFonts w:asciiTheme="minorHAnsi" w:hAnsiTheme="minorHAnsi" w:cs="Arial"/>
        </w:rPr>
        <w:t xml:space="preserve"> under the SCTC or any code</w:t>
      </w:r>
      <w:r>
        <w:rPr>
          <w:rFonts w:asciiTheme="minorHAnsi" w:hAnsiTheme="minorHAnsi" w:cs="Arial"/>
        </w:rPr>
        <w:t>, and to date, the monopoly provision of generation in these systems by or under contract to Territory G</w:t>
      </w:r>
      <w:r w:rsidR="00C00A84">
        <w:rPr>
          <w:rFonts w:asciiTheme="minorHAnsi" w:hAnsiTheme="minorHAnsi" w:cs="Arial"/>
        </w:rPr>
        <w:t>eneration has meant these arrangements have not been required.</w:t>
      </w:r>
    </w:p>
    <w:p w14:paraId="0899998C" w14:textId="5451CF29" w:rsidR="005C76D3" w:rsidRPr="008218E4" w:rsidRDefault="00660DDB" w:rsidP="008218E4">
      <w:pPr>
        <w:pStyle w:val="Heading2"/>
        <w:keepNext/>
        <w:rPr>
          <w:lang w:eastAsia="en-AU"/>
        </w:rPr>
      </w:pPr>
      <w:bookmarkStart w:id="24" w:name="_Toc42779167"/>
      <w:r>
        <w:rPr>
          <w:lang w:eastAsia="en-AU"/>
        </w:rPr>
        <w:t>C</w:t>
      </w:r>
      <w:r w:rsidR="005C76D3" w:rsidRPr="008218E4">
        <w:rPr>
          <w:lang w:eastAsia="en-AU"/>
        </w:rPr>
        <w:t>ase for change</w:t>
      </w:r>
      <w:bookmarkEnd w:id="24"/>
    </w:p>
    <w:p w14:paraId="07A45087" w14:textId="3F6B04E9" w:rsidR="00B815E6" w:rsidRDefault="009C2B2F" w:rsidP="00CD3D1D">
      <w:pPr>
        <w:rPr>
          <w:rFonts w:asciiTheme="minorHAnsi" w:hAnsiTheme="minorHAnsi" w:cs="Arial"/>
        </w:rPr>
      </w:pPr>
      <w:r>
        <w:rPr>
          <w:rFonts w:asciiTheme="minorHAnsi" w:hAnsiTheme="minorHAnsi" w:cs="Arial"/>
        </w:rPr>
        <w:t>The</w:t>
      </w:r>
      <w:r w:rsidR="00D057AB">
        <w:rPr>
          <w:rFonts w:asciiTheme="minorHAnsi" w:hAnsiTheme="minorHAnsi" w:cs="Arial"/>
        </w:rPr>
        <w:t xml:space="preserve"> current administered</w:t>
      </w:r>
      <w:r>
        <w:rPr>
          <w:rFonts w:asciiTheme="minorHAnsi" w:hAnsiTheme="minorHAnsi" w:cs="Arial"/>
        </w:rPr>
        <w:t xml:space="preserve"> price</w:t>
      </w:r>
      <w:r w:rsidR="00D057AB">
        <w:rPr>
          <w:rFonts w:asciiTheme="minorHAnsi" w:hAnsiTheme="minorHAnsi" w:cs="Arial"/>
        </w:rPr>
        <w:t xml:space="preserve"> of ESS for the Darwin-Katherine system</w:t>
      </w:r>
      <w:r>
        <w:rPr>
          <w:rFonts w:asciiTheme="minorHAnsi" w:hAnsiTheme="minorHAnsi" w:cs="Arial"/>
        </w:rPr>
        <w:t xml:space="preserve"> was included in amendments to the SCTC</w:t>
      </w:r>
      <w:r w:rsidR="008168FD">
        <w:rPr>
          <w:rFonts w:asciiTheme="minorHAnsi" w:hAnsiTheme="minorHAnsi" w:cs="Arial"/>
        </w:rPr>
        <w:t xml:space="preserve"> in 2015 that introduced</w:t>
      </w:r>
      <w:r w:rsidR="00D057AB">
        <w:rPr>
          <w:rFonts w:asciiTheme="minorHAnsi" w:hAnsiTheme="minorHAnsi" w:cs="Arial"/>
        </w:rPr>
        <w:t xml:space="preserve"> the </w:t>
      </w:r>
      <w:r w:rsidR="00312857">
        <w:rPr>
          <w:rFonts w:asciiTheme="minorHAnsi" w:hAnsiTheme="minorHAnsi" w:cs="Arial"/>
        </w:rPr>
        <w:t>I-NTEM</w:t>
      </w:r>
      <w:r w:rsidR="008168FD">
        <w:rPr>
          <w:rFonts w:asciiTheme="minorHAnsi" w:hAnsiTheme="minorHAnsi" w:cs="Arial"/>
        </w:rPr>
        <w:t>.</w:t>
      </w:r>
      <w:r>
        <w:rPr>
          <w:rFonts w:asciiTheme="minorHAnsi" w:hAnsiTheme="minorHAnsi" w:cs="Arial"/>
        </w:rPr>
        <w:t xml:space="preserve"> It is understood the price</w:t>
      </w:r>
      <w:r w:rsidR="009A2AE7">
        <w:rPr>
          <w:rFonts w:asciiTheme="minorHAnsi" w:hAnsiTheme="minorHAnsi" w:cs="Arial"/>
        </w:rPr>
        <w:t xml:space="preserve"> of $5.40</w:t>
      </w:r>
      <w:r w:rsidR="00AA1F61" w:rsidRPr="009F1A6F">
        <w:rPr>
          <w:rFonts w:asciiTheme="minorHAnsi" w:hAnsiTheme="minorHAnsi" w:cs="Arial"/>
        </w:rPr>
        <w:t xml:space="preserve"> wa</w:t>
      </w:r>
      <w:r>
        <w:rPr>
          <w:rFonts w:asciiTheme="minorHAnsi" w:hAnsiTheme="minorHAnsi" w:cs="Arial"/>
        </w:rPr>
        <w:t>s</w:t>
      </w:r>
      <w:r w:rsidR="00AA1F61">
        <w:rPr>
          <w:rFonts w:asciiTheme="minorHAnsi" w:hAnsiTheme="minorHAnsi" w:cs="Arial"/>
        </w:rPr>
        <w:t xml:space="preserve"> based on a high</w:t>
      </w:r>
      <w:r w:rsidR="00AA1F61">
        <w:rPr>
          <w:rFonts w:asciiTheme="minorHAnsi" w:hAnsiTheme="minorHAnsi" w:cs="Arial"/>
        </w:rPr>
        <w:noBreakHyphen/>
        <w:t>level</w:t>
      </w:r>
      <w:r w:rsidR="00AA1F61" w:rsidRPr="009F1A6F">
        <w:rPr>
          <w:rFonts w:asciiTheme="minorHAnsi" w:hAnsiTheme="minorHAnsi" w:cs="Arial"/>
        </w:rPr>
        <w:t xml:space="preserve"> assessment of costs to Territory Generatio</w:t>
      </w:r>
      <w:r w:rsidR="008168FD">
        <w:rPr>
          <w:rFonts w:asciiTheme="minorHAnsi" w:hAnsiTheme="minorHAnsi" w:cs="Arial"/>
        </w:rPr>
        <w:t>n of providing ESS at that time. H</w:t>
      </w:r>
      <w:r>
        <w:rPr>
          <w:rFonts w:asciiTheme="minorHAnsi" w:hAnsiTheme="minorHAnsi" w:cs="Arial"/>
        </w:rPr>
        <w:t>owever, in the instrument approving the SCTC amendments, the Utilities C</w:t>
      </w:r>
      <w:r w:rsidR="009A2AE7">
        <w:rPr>
          <w:rFonts w:asciiTheme="minorHAnsi" w:hAnsiTheme="minorHAnsi" w:cs="Arial"/>
        </w:rPr>
        <w:t>ommission stated</w:t>
      </w:r>
      <w:r w:rsidR="008168FD">
        <w:rPr>
          <w:rFonts w:asciiTheme="minorHAnsi" w:hAnsiTheme="minorHAnsi" w:cs="Arial"/>
        </w:rPr>
        <w:t xml:space="preserve"> that</w:t>
      </w:r>
      <w:r>
        <w:rPr>
          <w:rFonts w:asciiTheme="minorHAnsi" w:hAnsiTheme="minorHAnsi" w:cs="Arial"/>
        </w:rPr>
        <w:t xml:space="preserve"> </w:t>
      </w:r>
      <w:r w:rsidR="00DF3424">
        <w:rPr>
          <w:rFonts w:asciiTheme="minorHAnsi" w:hAnsiTheme="minorHAnsi" w:cs="Arial"/>
        </w:rPr>
        <w:t xml:space="preserve">the </w:t>
      </w:r>
      <w:r>
        <w:rPr>
          <w:rFonts w:asciiTheme="minorHAnsi" w:hAnsiTheme="minorHAnsi" w:cs="Arial"/>
        </w:rPr>
        <w:t>P</w:t>
      </w:r>
      <w:r w:rsidR="00DF3424">
        <w:rPr>
          <w:rFonts w:asciiTheme="minorHAnsi" w:hAnsiTheme="minorHAnsi" w:cs="Arial"/>
        </w:rPr>
        <w:t>ower and Water Corporation</w:t>
      </w:r>
      <w:r w:rsidR="009A2AE7">
        <w:rPr>
          <w:rFonts w:asciiTheme="minorHAnsi" w:hAnsiTheme="minorHAnsi" w:cs="Arial"/>
        </w:rPr>
        <w:t xml:space="preserve"> should</w:t>
      </w:r>
      <w:r>
        <w:rPr>
          <w:rFonts w:asciiTheme="minorHAnsi" w:hAnsiTheme="minorHAnsi" w:cs="Arial"/>
        </w:rPr>
        <w:t xml:space="preserve"> commenc</w:t>
      </w:r>
      <w:r w:rsidR="00D057AB">
        <w:rPr>
          <w:rFonts w:asciiTheme="minorHAnsi" w:hAnsiTheme="minorHAnsi" w:cs="Arial"/>
        </w:rPr>
        <w:t>e a review of ESS</w:t>
      </w:r>
      <w:r>
        <w:rPr>
          <w:rFonts w:asciiTheme="minorHAnsi" w:hAnsiTheme="minorHAnsi" w:cs="Arial"/>
        </w:rPr>
        <w:t xml:space="preserve"> within six months, and</w:t>
      </w:r>
      <w:r w:rsidR="00677A77">
        <w:rPr>
          <w:rFonts w:asciiTheme="minorHAnsi" w:hAnsiTheme="minorHAnsi" w:cs="Arial"/>
        </w:rPr>
        <w:t xml:space="preserve"> subsequent to the completion of the review,</w:t>
      </w:r>
      <w:r w:rsidR="009A2AE7">
        <w:rPr>
          <w:rFonts w:asciiTheme="minorHAnsi" w:hAnsiTheme="minorHAnsi" w:cs="Arial"/>
        </w:rPr>
        <w:t xml:space="preserve"> it </w:t>
      </w:r>
      <w:r>
        <w:rPr>
          <w:rFonts w:asciiTheme="minorHAnsi" w:hAnsiTheme="minorHAnsi" w:cs="Arial"/>
        </w:rPr>
        <w:t xml:space="preserve">would make a determination relating to prices </w:t>
      </w:r>
      <w:r w:rsidR="00D057AB">
        <w:rPr>
          <w:rFonts w:asciiTheme="minorHAnsi" w:hAnsiTheme="minorHAnsi" w:cs="Arial"/>
        </w:rPr>
        <w:t>for providing ESS</w:t>
      </w:r>
      <w:r>
        <w:rPr>
          <w:rFonts w:asciiTheme="minorHAnsi" w:hAnsiTheme="minorHAnsi" w:cs="Arial"/>
        </w:rPr>
        <w:t>.</w:t>
      </w:r>
      <w:r>
        <w:rPr>
          <w:rStyle w:val="FootnoteReference"/>
          <w:rFonts w:asciiTheme="minorHAnsi" w:hAnsiTheme="minorHAnsi" w:cs="Arial"/>
        </w:rPr>
        <w:footnoteReference w:id="26"/>
      </w:r>
      <w:r>
        <w:rPr>
          <w:rFonts w:asciiTheme="minorHAnsi" w:hAnsiTheme="minorHAnsi" w:cs="Arial"/>
        </w:rPr>
        <w:t xml:space="preserve"> To date, no review</w:t>
      </w:r>
      <w:r w:rsidR="008168FD">
        <w:rPr>
          <w:rFonts w:asciiTheme="minorHAnsi" w:hAnsiTheme="minorHAnsi" w:cs="Arial"/>
        </w:rPr>
        <w:t xml:space="preserve"> of ESS</w:t>
      </w:r>
      <w:r>
        <w:rPr>
          <w:rFonts w:asciiTheme="minorHAnsi" w:hAnsiTheme="minorHAnsi" w:cs="Arial"/>
        </w:rPr>
        <w:t xml:space="preserve"> by </w:t>
      </w:r>
      <w:r w:rsidR="00DF3424">
        <w:rPr>
          <w:rFonts w:asciiTheme="minorHAnsi" w:hAnsiTheme="minorHAnsi" w:cs="Arial"/>
        </w:rPr>
        <w:t>the Power and Water Corporation</w:t>
      </w:r>
      <w:r w:rsidR="008168FD">
        <w:rPr>
          <w:rFonts w:asciiTheme="minorHAnsi" w:hAnsiTheme="minorHAnsi" w:cs="Arial"/>
        </w:rPr>
        <w:t xml:space="preserve"> </w:t>
      </w:r>
      <w:r>
        <w:rPr>
          <w:rFonts w:asciiTheme="minorHAnsi" w:hAnsiTheme="minorHAnsi" w:cs="Arial"/>
        </w:rPr>
        <w:t xml:space="preserve">or determination </w:t>
      </w:r>
      <w:r w:rsidR="008168FD">
        <w:rPr>
          <w:rFonts w:asciiTheme="minorHAnsi" w:hAnsiTheme="minorHAnsi" w:cs="Arial"/>
        </w:rPr>
        <w:t>on ESS pricing by the Utilities Commission has been made.</w:t>
      </w:r>
    </w:p>
    <w:p w14:paraId="45B1F527" w14:textId="77777777" w:rsidR="00EE23F4" w:rsidRDefault="00CD3D1D" w:rsidP="00AA1F61">
      <w:pPr>
        <w:rPr>
          <w:rFonts w:asciiTheme="minorHAnsi" w:hAnsiTheme="minorHAnsi" w:cs="Arial"/>
        </w:rPr>
      </w:pPr>
      <w:r w:rsidRPr="00CD3D1D">
        <w:rPr>
          <w:rFonts w:asciiTheme="minorHAnsi" w:hAnsiTheme="minorHAnsi" w:cs="Arial"/>
        </w:rPr>
        <w:t xml:space="preserve">There has been </w:t>
      </w:r>
      <w:r w:rsidR="00D241B1">
        <w:rPr>
          <w:rFonts w:asciiTheme="minorHAnsi" w:hAnsiTheme="minorHAnsi" w:cs="Arial"/>
        </w:rPr>
        <w:t>substantial activity in the Darwin-Katherine system</w:t>
      </w:r>
      <w:r w:rsidR="009324E5">
        <w:rPr>
          <w:rFonts w:asciiTheme="minorHAnsi" w:hAnsiTheme="minorHAnsi" w:cs="Arial"/>
        </w:rPr>
        <w:t xml:space="preserve"> since 2015</w:t>
      </w:r>
      <w:r w:rsidRPr="00CD3D1D">
        <w:rPr>
          <w:rFonts w:asciiTheme="minorHAnsi" w:hAnsiTheme="minorHAnsi" w:cs="Arial"/>
        </w:rPr>
        <w:t xml:space="preserve"> likely to have impacted on the provision of </w:t>
      </w:r>
      <w:r w:rsidR="009A2AE7">
        <w:rPr>
          <w:rFonts w:asciiTheme="minorHAnsi" w:hAnsiTheme="minorHAnsi" w:cs="Arial"/>
        </w:rPr>
        <w:t>ESS</w:t>
      </w:r>
      <w:r w:rsidRPr="00CD3D1D">
        <w:rPr>
          <w:rFonts w:asciiTheme="minorHAnsi" w:hAnsiTheme="minorHAnsi" w:cs="Arial"/>
        </w:rPr>
        <w:t xml:space="preserve"> and thus Territory Generation’s cost</w:t>
      </w:r>
      <w:r w:rsidR="009A2AE7">
        <w:rPr>
          <w:rFonts w:asciiTheme="minorHAnsi" w:hAnsiTheme="minorHAnsi" w:cs="Arial"/>
        </w:rPr>
        <w:t>s</w:t>
      </w:r>
      <w:r w:rsidRPr="00CD3D1D">
        <w:rPr>
          <w:rFonts w:asciiTheme="minorHAnsi" w:hAnsiTheme="minorHAnsi" w:cs="Arial"/>
        </w:rPr>
        <w:t xml:space="preserve">. </w:t>
      </w:r>
      <w:r w:rsidR="00AA1F61">
        <w:rPr>
          <w:rFonts w:asciiTheme="minorHAnsi" w:hAnsiTheme="minorHAnsi" w:cs="Arial"/>
        </w:rPr>
        <w:t>The administered price is now regarded a ‘placeholder’ i</w:t>
      </w:r>
      <w:r w:rsidR="00977CF8">
        <w:rPr>
          <w:rFonts w:asciiTheme="minorHAnsi" w:hAnsiTheme="minorHAnsi" w:cs="Arial"/>
        </w:rPr>
        <w:t>n lieu of any other alternative and needs to be reviewed.</w:t>
      </w:r>
    </w:p>
    <w:p w14:paraId="5716B627" w14:textId="77777777" w:rsidR="00F62958" w:rsidRDefault="00F62958" w:rsidP="00AA1F61">
      <w:pPr>
        <w:rPr>
          <w:rFonts w:asciiTheme="minorHAnsi" w:hAnsiTheme="minorHAnsi" w:cs="Arial"/>
        </w:rPr>
      </w:pPr>
      <w:r>
        <w:rPr>
          <w:rFonts w:asciiTheme="minorHAnsi" w:hAnsiTheme="minorHAnsi" w:cs="Arial"/>
        </w:rPr>
        <w:t>Other deficiencies in the current administered pricing arrangement</w:t>
      </w:r>
      <w:r w:rsidR="00B9415F">
        <w:rPr>
          <w:rFonts w:asciiTheme="minorHAnsi" w:hAnsiTheme="minorHAnsi" w:cs="Arial"/>
        </w:rPr>
        <w:t xml:space="preserve">s </w:t>
      </w:r>
      <w:r>
        <w:rPr>
          <w:rFonts w:asciiTheme="minorHAnsi" w:hAnsiTheme="minorHAnsi" w:cs="Arial"/>
        </w:rPr>
        <w:t>include</w:t>
      </w:r>
      <w:r w:rsidR="00D241B1">
        <w:rPr>
          <w:rFonts w:asciiTheme="minorHAnsi" w:hAnsiTheme="minorHAnsi" w:cs="Arial"/>
        </w:rPr>
        <w:t xml:space="preserve"> that</w:t>
      </w:r>
      <w:r>
        <w:rPr>
          <w:rFonts w:asciiTheme="minorHAnsi" w:hAnsiTheme="minorHAnsi" w:cs="Arial"/>
        </w:rPr>
        <w:t>:</w:t>
      </w:r>
    </w:p>
    <w:p w14:paraId="1D56DFF8" w14:textId="77777777" w:rsidR="009324E5" w:rsidRPr="008218E4" w:rsidRDefault="00B9415F" w:rsidP="008218E4">
      <w:pPr>
        <w:pStyle w:val="ListParagraph"/>
        <w:numPr>
          <w:ilvl w:val="0"/>
          <w:numId w:val="12"/>
        </w:numPr>
        <w:spacing w:before="200"/>
        <w:ind w:left="426"/>
        <w:rPr>
          <w:rFonts w:cs="Arial"/>
        </w:rPr>
      </w:pPr>
      <w:r w:rsidRPr="00EB3D78">
        <w:rPr>
          <w:rFonts w:cs="Arial"/>
        </w:rPr>
        <w:t>t</w:t>
      </w:r>
      <w:r w:rsidR="009324E5" w:rsidRPr="008218E4">
        <w:rPr>
          <w:rFonts w:cs="Arial"/>
        </w:rPr>
        <w:t>he</w:t>
      </w:r>
      <w:r>
        <w:rPr>
          <w:rFonts w:cs="Arial"/>
        </w:rPr>
        <w:t xml:space="preserve"> single bundled</w:t>
      </w:r>
      <w:r w:rsidR="009324E5" w:rsidRPr="008218E4">
        <w:rPr>
          <w:rFonts w:cs="Arial"/>
        </w:rPr>
        <w:t xml:space="preserve"> pric</w:t>
      </w:r>
      <w:r w:rsidRPr="00EB3D78">
        <w:rPr>
          <w:rFonts w:cs="Arial"/>
        </w:rPr>
        <w:t>e</w:t>
      </w:r>
      <w:r w:rsidR="009324E5" w:rsidRPr="008218E4">
        <w:rPr>
          <w:rFonts w:cs="Arial"/>
        </w:rPr>
        <w:t xml:space="preserve"> does not provide</w:t>
      </w:r>
      <w:r w:rsidR="00F62958">
        <w:rPr>
          <w:rFonts w:cs="Arial"/>
        </w:rPr>
        <w:t xml:space="preserve"> system participants with</w:t>
      </w:r>
      <w:r w:rsidR="009324E5" w:rsidRPr="008218E4">
        <w:rPr>
          <w:rFonts w:cs="Arial"/>
        </w:rPr>
        <w:t xml:space="preserve"> an understanding of the costs of individual or categories of ESS</w:t>
      </w:r>
      <w:r w:rsidR="00BE4F0E" w:rsidRPr="00BE4F0E">
        <w:rPr>
          <w:rFonts w:cs="Arial"/>
        </w:rPr>
        <w:t xml:space="preserve"> captured by the rate, and i</w:t>
      </w:r>
      <w:r w:rsidR="009324E5" w:rsidRPr="008218E4">
        <w:rPr>
          <w:rFonts w:cs="Arial"/>
        </w:rPr>
        <w:t>ntroducing this further degree of transparency would provide for a better understanding by government and industry of the cost of key services required t</w:t>
      </w:r>
      <w:r w:rsidR="00D241B1" w:rsidRPr="00D241B1">
        <w:rPr>
          <w:rFonts w:cs="Arial"/>
        </w:rPr>
        <w:t>o support power system security</w:t>
      </w:r>
    </w:p>
    <w:p w14:paraId="28DAF2DB" w14:textId="77777777" w:rsidR="00AA1F61" w:rsidRPr="008218E4" w:rsidRDefault="00850A81" w:rsidP="008218E4">
      <w:pPr>
        <w:pStyle w:val="ListParagraph"/>
        <w:numPr>
          <w:ilvl w:val="0"/>
          <w:numId w:val="12"/>
        </w:numPr>
        <w:spacing w:before="200"/>
        <w:ind w:left="426"/>
        <w:rPr>
          <w:rFonts w:cs="Arial"/>
        </w:rPr>
      </w:pPr>
      <w:r>
        <w:rPr>
          <w:rFonts w:cs="Arial"/>
        </w:rPr>
        <w:t xml:space="preserve">there is no mechanism for the administered price to change over time with changing conditions, </w:t>
      </w:r>
      <w:r w:rsidR="00EE23F4" w:rsidRPr="008218E4">
        <w:rPr>
          <w:rFonts w:cs="Arial"/>
        </w:rPr>
        <w:t xml:space="preserve">such as the introduction of substantial new solar energy generation and emerging technologies for </w:t>
      </w:r>
      <w:r w:rsidR="00EE23F4" w:rsidRPr="008218E4">
        <w:rPr>
          <w:rFonts w:cs="Arial"/>
        </w:rPr>
        <w:lastRenderedPageBreak/>
        <w:t>providing ESS</w:t>
      </w:r>
      <w:r w:rsidRPr="00850A81">
        <w:rPr>
          <w:rFonts w:cs="Arial"/>
        </w:rPr>
        <w:t>, and formalising arrangements for the price to remain</w:t>
      </w:r>
      <w:r w:rsidR="00EE23F4" w:rsidRPr="008218E4">
        <w:rPr>
          <w:rFonts w:cs="Arial"/>
        </w:rPr>
        <w:t xml:space="preserve"> up to date on an ongoing bas</w:t>
      </w:r>
      <w:r w:rsidR="006A6BFC">
        <w:rPr>
          <w:rFonts w:cs="Arial"/>
        </w:rPr>
        <w:t>is wo</w:t>
      </w:r>
      <w:r w:rsidRPr="00850A81">
        <w:rPr>
          <w:rFonts w:cs="Arial"/>
        </w:rPr>
        <w:t>uld enhance certainty for system participants.</w:t>
      </w:r>
    </w:p>
    <w:p w14:paraId="72A37327" w14:textId="77777777" w:rsidR="00FE110B" w:rsidRDefault="006514DC">
      <w:pPr>
        <w:rPr>
          <w:rFonts w:asciiTheme="minorHAnsi" w:hAnsiTheme="minorHAnsi" w:cs="Arial"/>
        </w:rPr>
      </w:pPr>
      <w:r>
        <w:rPr>
          <w:rFonts w:asciiTheme="minorHAnsi" w:hAnsiTheme="minorHAnsi" w:cs="Arial"/>
        </w:rPr>
        <w:t>T</w:t>
      </w:r>
      <w:r w:rsidR="00BB2C36">
        <w:rPr>
          <w:rFonts w:asciiTheme="minorHAnsi" w:hAnsiTheme="minorHAnsi" w:cs="Arial"/>
        </w:rPr>
        <w:t>he lack of any arrangement for pricing or cost recovery of ESS provision in</w:t>
      </w:r>
      <w:r>
        <w:rPr>
          <w:rFonts w:asciiTheme="minorHAnsi" w:hAnsiTheme="minorHAnsi" w:cs="Arial"/>
        </w:rPr>
        <w:t xml:space="preserve"> </w:t>
      </w:r>
      <w:r w:rsidR="00127E81">
        <w:rPr>
          <w:rFonts w:asciiTheme="minorHAnsi" w:hAnsiTheme="minorHAnsi" w:cs="Arial"/>
        </w:rPr>
        <w:t>Alice Springs and Tennant C</w:t>
      </w:r>
      <w:r w:rsidR="00BB2C36">
        <w:rPr>
          <w:rFonts w:asciiTheme="minorHAnsi" w:hAnsiTheme="minorHAnsi" w:cs="Arial"/>
        </w:rPr>
        <w:t>reek has not posed signif</w:t>
      </w:r>
      <w:r w:rsidR="00D241B1">
        <w:rPr>
          <w:rFonts w:asciiTheme="minorHAnsi" w:hAnsiTheme="minorHAnsi" w:cs="Arial"/>
        </w:rPr>
        <w:t>icant difficulties to date while</w:t>
      </w:r>
      <w:r w:rsidR="00BB2C36">
        <w:rPr>
          <w:rFonts w:asciiTheme="minorHAnsi" w:hAnsiTheme="minorHAnsi" w:cs="Arial"/>
        </w:rPr>
        <w:t xml:space="preserve"> Territory Generation has provided all generation</w:t>
      </w:r>
      <w:r w:rsidR="00B9415F">
        <w:rPr>
          <w:rFonts w:asciiTheme="minorHAnsi" w:hAnsiTheme="minorHAnsi" w:cs="Arial"/>
        </w:rPr>
        <w:t xml:space="preserve"> directly or under contract from private</w:t>
      </w:r>
      <w:r w:rsidR="00D241B1">
        <w:rPr>
          <w:rFonts w:asciiTheme="minorHAnsi" w:hAnsiTheme="minorHAnsi" w:cs="Arial"/>
        </w:rPr>
        <w:t xml:space="preserve"> providers</w:t>
      </w:r>
      <w:r w:rsidR="00BB2C36">
        <w:rPr>
          <w:rFonts w:asciiTheme="minorHAnsi" w:hAnsiTheme="minorHAnsi" w:cs="Arial"/>
        </w:rPr>
        <w:t>. However, the Alice Springs and Tennant Creek power systems are subject to open access arrangements, and this situation may change</w:t>
      </w:r>
      <w:r w:rsidR="0056208B">
        <w:rPr>
          <w:rFonts w:asciiTheme="minorHAnsi" w:hAnsiTheme="minorHAnsi" w:cs="Arial"/>
        </w:rPr>
        <w:t xml:space="preserve"> in the future</w:t>
      </w:r>
      <w:r w:rsidR="00BB2C36">
        <w:rPr>
          <w:rFonts w:asciiTheme="minorHAnsi" w:hAnsiTheme="minorHAnsi" w:cs="Arial"/>
        </w:rPr>
        <w:t>. A</w:t>
      </w:r>
      <w:r w:rsidR="00A0722A">
        <w:rPr>
          <w:rFonts w:asciiTheme="minorHAnsi" w:hAnsiTheme="minorHAnsi" w:cs="Arial"/>
        </w:rPr>
        <w:t>n application by a private retailer to generate</w:t>
      </w:r>
      <w:r w:rsidR="00BE7B33">
        <w:rPr>
          <w:rFonts w:asciiTheme="minorHAnsi" w:hAnsiTheme="minorHAnsi" w:cs="Arial"/>
        </w:rPr>
        <w:t xml:space="preserve"> electricity</w:t>
      </w:r>
      <w:r w:rsidR="00A0722A">
        <w:rPr>
          <w:rFonts w:asciiTheme="minorHAnsi" w:hAnsiTheme="minorHAnsi" w:cs="Arial"/>
        </w:rPr>
        <w:t xml:space="preserve"> in Alice Springs is currently under consideration by the Utilities Commission</w:t>
      </w:r>
      <w:r w:rsidR="00A0722A">
        <w:rPr>
          <w:rStyle w:val="FootnoteReference"/>
          <w:rFonts w:asciiTheme="minorHAnsi" w:hAnsiTheme="minorHAnsi" w:cs="Arial"/>
        </w:rPr>
        <w:footnoteReference w:id="27"/>
      </w:r>
      <w:r w:rsidR="00A0722A">
        <w:rPr>
          <w:rFonts w:asciiTheme="minorHAnsi" w:hAnsiTheme="minorHAnsi" w:cs="Arial"/>
        </w:rPr>
        <w:t xml:space="preserve"> and highlights the need to plan for competition </w:t>
      </w:r>
      <w:r w:rsidR="003E3CDF">
        <w:rPr>
          <w:rFonts w:asciiTheme="minorHAnsi" w:hAnsiTheme="minorHAnsi" w:cs="Arial"/>
        </w:rPr>
        <w:t>in generation in these systems.</w:t>
      </w:r>
    </w:p>
    <w:p w14:paraId="038596D5" w14:textId="77777777" w:rsidR="005C76D3" w:rsidRPr="008218E4" w:rsidRDefault="005C76D3" w:rsidP="008218E4">
      <w:pPr>
        <w:pStyle w:val="Heading2"/>
        <w:keepNext/>
        <w:rPr>
          <w:lang w:eastAsia="en-AU"/>
        </w:rPr>
      </w:pPr>
      <w:bookmarkStart w:id="25" w:name="_Toc42779168"/>
      <w:r w:rsidRPr="008218E4">
        <w:rPr>
          <w:lang w:eastAsia="en-AU"/>
        </w:rPr>
        <w:t>Issues</w:t>
      </w:r>
      <w:bookmarkEnd w:id="25"/>
    </w:p>
    <w:p w14:paraId="36F82001" w14:textId="77777777" w:rsidR="00E216DF" w:rsidRDefault="00E216DF" w:rsidP="00E216DF">
      <w:pPr>
        <w:rPr>
          <w:rFonts w:asciiTheme="minorHAnsi" w:hAnsiTheme="minorHAnsi" w:cs="Arial"/>
        </w:rPr>
      </w:pPr>
      <w:r>
        <w:rPr>
          <w:rFonts w:asciiTheme="minorHAnsi" w:hAnsiTheme="minorHAnsi" w:cs="Arial"/>
        </w:rPr>
        <w:t>For the above-mentioned reasons, administered pricing for Territory Generation and/or some other form of marke</w:t>
      </w:r>
      <w:r w:rsidR="003E215B">
        <w:rPr>
          <w:rFonts w:asciiTheme="minorHAnsi" w:hAnsiTheme="minorHAnsi" w:cs="Arial"/>
        </w:rPr>
        <w:t>t power mitigation measures may</w:t>
      </w:r>
      <w:r>
        <w:rPr>
          <w:rFonts w:asciiTheme="minorHAnsi" w:hAnsiTheme="minorHAnsi" w:cs="Arial"/>
        </w:rPr>
        <w:t xml:space="preserve"> be required in the future, under either monopoly or market provision of ESS.</w:t>
      </w:r>
    </w:p>
    <w:p w14:paraId="67F089CC" w14:textId="77777777" w:rsidR="007E7E9E" w:rsidRDefault="003E215B" w:rsidP="00E216DF">
      <w:pPr>
        <w:rPr>
          <w:rFonts w:asciiTheme="minorHAnsi" w:hAnsiTheme="minorHAnsi" w:cs="Arial"/>
        </w:rPr>
      </w:pPr>
      <w:r>
        <w:rPr>
          <w:rFonts w:asciiTheme="minorHAnsi" w:hAnsiTheme="minorHAnsi" w:cs="Arial"/>
        </w:rPr>
        <w:t xml:space="preserve">Depending on the service provision framework chosen, </w:t>
      </w:r>
      <w:r w:rsidR="0080398C">
        <w:rPr>
          <w:rFonts w:asciiTheme="minorHAnsi" w:hAnsiTheme="minorHAnsi" w:cs="Arial"/>
        </w:rPr>
        <w:t xml:space="preserve">options for market power mitigation measures </w:t>
      </w:r>
      <w:r w:rsidR="007B0BA4">
        <w:rPr>
          <w:rFonts w:asciiTheme="minorHAnsi" w:hAnsiTheme="minorHAnsi" w:cs="Arial"/>
        </w:rPr>
        <w:t xml:space="preserve">applying to Territory Generation </w:t>
      </w:r>
      <w:r>
        <w:rPr>
          <w:rFonts w:asciiTheme="minorHAnsi" w:hAnsiTheme="minorHAnsi" w:cs="Arial"/>
        </w:rPr>
        <w:t>could include:</w:t>
      </w:r>
    </w:p>
    <w:p w14:paraId="11E3433C" w14:textId="77777777" w:rsidR="003E215B" w:rsidRPr="0021322F" w:rsidRDefault="00237AC3" w:rsidP="0021322F">
      <w:pPr>
        <w:pStyle w:val="ListParagraph"/>
        <w:numPr>
          <w:ilvl w:val="0"/>
          <w:numId w:val="12"/>
        </w:numPr>
        <w:spacing w:before="200"/>
        <w:ind w:left="426"/>
        <w:rPr>
          <w:rFonts w:cs="Arial"/>
        </w:rPr>
      </w:pPr>
      <w:r w:rsidRPr="0021322F">
        <w:rPr>
          <w:rFonts w:cs="Arial"/>
        </w:rPr>
        <w:t>administered prices for the provision of ESS</w:t>
      </w:r>
    </w:p>
    <w:p w14:paraId="56970C65" w14:textId="77777777" w:rsidR="003E215B" w:rsidRPr="0021322F" w:rsidRDefault="0080398C" w:rsidP="0021322F">
      <w:pPr>
        <w:pStyle w:val="ListParagraph"/>
        <w:numPr>
          <w:ilvl w:val="0"/>
          <w:numId w:val="12"/>
        </w:numPr>
        <w:spacing w:before="200"/>
        <w:ind w:left="426"/>
        <w:rPr>
          <w:rFonts w:cs="Arial"/>
        </w:rPr>
      </w:pPr>
      <w:r w:rsidRPr="0021322F">
        <w:rPr>
          <w:rFonts w:cs="Arial"/>
        </w:rPr>
        <w:t>limits on</w:t>
      </w:r>
      <w:r w:rsidR="003E215B" w:rsidRPr="0021322F">
        <w:rPr>
          <w:rFonts w:cs="Arial"/>
        </w:rPr>
        <w:t xml:space="preserve"> revenue </w:t>
      </w:r>
      <w:r w:rsidRPr="0021322F">
        <w:rPr>
          <w:rFonts w:cs="Arial"/>
        </w:rPr>
        <w:t>that can be earnt from providing</w:t>
      </w:r>
      <w:r w:rsidR="003E215B" w:rsidRPr="0021322F">
        <w:rPr>
          <w:rFonts w:cs="Arial"/>
        </w:rPr>
        <w:t xml:space="preserve"> ESS</w:t>
      </w:r>
    </w:p>
    <w:p w14:paraId="7BC34FFC" w14:textId="77777777" w:rsidR="00237AC3" w:rsidRPr="0021322F" w:rsidRDefault="00237AC3" w:rsidP="0021322F">
      <w:pPr>
        <w:pStyle w:val="ListParagraph"/>
        <w:numPr>
          <w:ilvl w:val="0"/>
          <w:numId w:val="12"/>
        </w:numPr>
        <w:spacing w:before="200"/>
        <w:ind w:left="426"/>
        <w:rPr>
          <w:rFonts w:cs="Arial"/>
        </w:rPr>
      </w:pPr>
      <w:r w:rsidRPr="0021322F">
        <w:rPr>
          <w:rFonts w:cs="Arial"/>
        </w:rPr>
        <w:t>constraints on offer prices in any market mechanism</w:t>
      </w:r>
    </w:p>
    <w:p w14:paraId="0EE079D3" w14:textId="77777777" w:rsidR="003E215B" w:rsidRPr="0021322F" w:rsidRDefault="0080398C" w:rsidP="0021322F">
      <w:pPr>
        <w:pStyle w:val="ListParagraph"/>
        <w:numPr>
          <w:ilvl w:val="0"/>
          <w:numId w:val="12"/>
        </w:numPr>
        <w:spacing w:before="200"/>
        <w:ind w:left="426"/>
        <w:rPr>
          <w:rFonts w:cs="Arial"/>
        </w:rPr>
      </w:pPr>
      <w:proofErr w:type="gramStart"/>
      <w:r w:rsidRPr="0021322F">
        <w:rPr>
          <w:rFonts w:cs="Arial"/>
        </w:rPr>
        <w:t>an</w:t>
      </w:r>
      <w:proofErr w:type="gramEnd"/>
      <w:r w:rsidRPr="0021322F">
        <w:rPr>
          <w:rFonts w:cs="Arial"/>
        </w:rPr>
        <w:t xml:space="preserve"> obligation to supply required volumes of ESS</w:t>
      </w:r>
      <w:r w:rsidR="00237AC3" w:rsidRPr="0021322F">
        <w:rPr>
          <w:rFonts w:cs="Arial"/>
        </w:rPr>
        <w:t>, such as a default provider arrangement.</w:t>
      </w:r>
    </w:p>
    <w:p w14:paraId="54AE501E" w14:textId="77777777" w:rsidR="007E7E9E" w:rsidRDefault="00407CFD" w:rsidP="00B00031">
      <w:pPr>
        <w:rPr>
          <w:rFonts w:asciiTheme="minorHAnsi" w:hAnsiTheme="minorHAnsi" w:cs="Arial"/>
        </w:rPr>
      </w:pPr>
      <w:r w:rsidRPr="008218E4">
        <w:rPr>
          <w:rFonts w:asciiTheme="minorHAnsi" w:hAnsiTheme="minorHAnsi" w:cs="Arial"/>
        </w:rPr>
        <w:t>In the NEM</w:t>
      </w:r>
      <w:r w:rsidR="007E7E9E">
        <w:rPr>
          <w:rFonts w:asciiTheme="minorHAnsi" w:hAnsiTheme="minorHAnsi" w:cs="Arial"/>
        </w:rPr>
        <w:t>, in response to</w:t>
      </w:r>
      <w:r w:rsidR="007E7E9E" w:rsidRPr="007E7E9E">
        <w:t xml:space="preserve"> </w:t>
      </w:r>
      <w:r w:rsidR="007E7E9E" w:rsidRPr="007E7E9E">
        <w:rPr>
          <w:rFonts w:asciiTheme="minorHAnsi" w:hAnsiTheme="minorHAnsi" w:cs="Arial"/>
        </w:rPr>
        <w:t>concerns about Hydro Tasmania’s dominance of the Tasmanian energy generation market</w:t>
      </w:r>
      <w:r w:rsidR="007E7E9E">
        <w:rPr>
          <w:rFonts w:asciiTheme="minorHAnsi" w:hAnsiTheme="minorHAnsi" w:cs="Arial"/>
        </w:rPr>
        <w:t xml:space="preserve"> and the spot market for FCAS</w:t>
      </w:r>
      <w:r w:rsidR="007E7E9E" w:rsidRPr="007E7E9E">
        <w:rPr>
          <w:rFonts w:asciiTheme="minorHAnsi" w:hAnsiTheme="minorHAnsi" w:cs="Arial"/>
        </w:rPr>
        <w:t xml:space="preserve">, </w:t>
      </w:r>
      <w:r w:rsidR="00237AC3">
        <w:rPr>
          <w:rFonts w:asciiTheme="minorHAnsi" w:hAnsiTheme="minorHAnsi" w:cs="Arial"/>
        </w:rPr>
        <w:t xml:space="preserve">in 2011 </w:t>
      </w:r>
      <w:r w:rsidR="007E7E9E" w:rsidRPr="007E7E9E">
        <w:rPr>
          <w:rFonts w:asciiTheme="minorHAnsi" w:hAnsiTheme="minorHAnsi" w:cs="Arial"/>
        </w:rPr>
        <w:t xml:space="preserve">the </w:t>
      </w:r>
      <w:r w:rsidR="007E7E9E">
        <w:rPr>
          <w:rFonts w:asciiTheme="minorHAnsi" w:hAnsiTheme="minorHAnsi" w:cs="Arial"/>
        </w:rPr>
        <w:t xml:space="preserve">Tasmanian Economic </w:t>
      </w:r>
      <w:r w:rsidR="007E7E9E" w:rsidRPr="007E7E9E">
        <w:rPr>
          <w:rFonts w:asciiTheme="minorHAnsi" w:hAnsiTheme="minorHAnsi" w:cs="Arial"/>
        </w:rPr>
        <w:t>Reg</w:t>
      </w:r>
      <w:r w:rsidR="00237AC3">
        <w:rPr>
          <w:rFonts w:asciiTheme="minorHAnsi" w:hAnsiTheme="minorHAnsi" w:cs="Arial"/>
        </w:rPr>
        <w:t>ulator (TER) decided to implement pricing regulation</w:t>
      </w:r>
      <w:r w:rsidR="007E7E9E">
        <w:rPr>
          <w:rFonts w:asciiTheme="minorHAnsi" w:hAnsiTheme="minorHAnsi" w:cs="Arial"/>
        </w:rPr>
        <w:t xml:space="preserve">. Under the </w:t>
      </w:r>
      <w:r w:rsidR="00237AC3">
        <w:rPr>
          <w:rFonts w:asciiTheme="minorHAnsi" w:hAnsiTheme="minorHAnsi" w:cs="Arial"/>
        </w:rPr>
        <w:t xml:space="preserve">TER’s </w:t>
      </w:r>
      <w:r w:rsidR="007E7E9E">
        <w:rPr>
          <w:rFonts w:asciiTheme="minorHAnsi" w:hAnsiTheme="minorHAnsi" w:cs="Arial"/>
        </w:rPr>
        <w:t xml:space="preserve">determination, Hydro Tasmania was required to offer a </w:t>
      </w:r>
      <w:r w:rsidR="00237AC3">
        <w:rPr>
          <w:rFonts w:asciiTheme="minorHAnsi" w:hAnsiTheme="minorHAnsi" w:cs="Arial"/>
        </w:rPr>
        <w:t>‘safety net’ FCAS hedge contract to</w:t>
      </w:r>
      <w:r w:rsidR="007E7E9E">
        <w:rPr>
          <w:rFonts w:asciiTheme="minorHAnsi" w:hAnsiTheme="minorHAnsi" w:cs="Arial"/>
        </w:rPr>
        <w:t xml:space="preserve"> other </w:t>
      </w:r>
      <w:r w:rsidR="00237AC3">
        <w:rPr>
          <w:rFonts w:asciiTheme="minorHAnsi" w:hAnsiTheme="minorHAnsi" w:cs="Arial"/>
        </w:rPr>
        <w:t xml:space="preserve">generators to meet their market </w:t>
      </w:r>
      <w:r w:rsidR="007E7E9E">
        <w:rPr>
          <w:rFonts w:asciiTheme="minorHAnsi" w:hAnsiTheme="minorHAnsi" w:cs="Arial"/>
        </w:rPr>
        <w:t>liabilities</w:t>
      </w:r>
      <w:r w:rsidR="00237AC3">
        <w:rPr>
          <w:rFonts w:asciiTheme="minorHAnsi" w:hAnsiTheme="minorHAnsi" w:cs="Arial"/>
        </w:rPr>
        <w:t xml:space="preserve"> and for which the price</w:t>
      </w:r>
      <w:r w:rsidR="007E7E9E">
        <w:rPr>
          <w:rFonts w:asciiTheme="minorHAnsi" w:hAnsiTheme="minorHAnsi" w:cs="Arial"/>
        </w:rPr>
        <w:t xml:space="preserve"> </w:t>
      </w:r>
      <w:r w:rsidR="00237AC3">
        <w:rPr>
          <w:rFonts w:asciiTheme="minorHAnsi" w:hAnsiTheme="minorHAnsi" w:cs="Arial"/>
        </w:rPr>
        <w:t>was</w:t>
      </w:r>
      <w:r w:rsidR="007E7E9E">
        <w:rPr>
          <w:rFonts w:asciiTheme="minorHAnsi" w:hAnsiTheme="minorHAnsi" w:cs="Arial"/>
        </w:rPr>
        <w:t xml:space="preserve"> </w:t>
      </w:r>
      <w:r w:rsidR="00237AC3">
        <w:rPr>
          <w:rFonts w:asciiTheme="minorHAnsi" w:hAnsiTheme="minorHAnsi" w:cs="Arial"/>
        </w:rPr>
        <w:t>based on</w:t>
      </w:r>
      <w:r w:rsidR="007E7E9E" w:rsidRPr="007E7E9E">
        <w:rPr>
          <w:rFonts w:asciiTheme="minorHAnsi" w:hAnsiTheme="minorHAnsi" w:cs="Arial"/>
        </w:rPr>
        <w:t xml:space="preserve"> Hydro Tasmania’s costs of physically delivering to the spot mark</w:t>
      </w:r>
      <w:r w:rsidR="00237AC3">
        <w:rPr>
          <w:rFonts w:asciiTheme="minorHAnsi" w:hAnsiTheme="minorHAnsi" w:cs="Arial"/>
        </w:rPr>
        <w:t>et the amount of FCAS nominated.</w:t>
      </w:r>
      <w:r w:rsidR="00237AC3">
        <w:rPr>
          <w:rStyle w:val="FootnoteReference"/>
          <w:rFonts w:asciiTheme="minorHAnsi" w:hAnsiTheme="minorHAnsi" w:cs="Arial"/>
        </w:rPr>
        <w:footnoteReference w:id="28"/>
      </w:r>
      <w:r w:rsidR="002E3C79">
        <w:rPr>
          <w:rFonts w:asciiTheme="minorHAnsi" w:hAnsiTheme="minorHAnsi" w:cs="Arial"/>
        </w:rPr>
        <w:t xml:space="preserve"> The pricing regulation was revoked by the TER in 2015.</w:t>
      </w:r>
    </w:p>
    <w:p w14:paraId="684D6753" w14:textId="77777777" w:rsidR="00B00031" w:rsidRPr="009F1A6F" w:rsidRDefault="00B00031" w:rsidP="00B00031">
      <w:pPr>
        <w:rPr>
          <w:rFonts w:asciiTheme="minorHAnsi" w:hAnsiTheme="minorHAnsi" w:cs="Arial"/>
        </w:rPr>
      </w:pPr>
      <w:r w:rsidRPr="009F1A6F">
        <w:rPr>
          <w:rFonts w:asciiTheme="minorHAnsi" w:hAnsiTheme="minorHAnsi" w:cs="Arial"/>
        </w:rPr>
        <w:t xml:space="preserve">In </w:t>
      </w:r>
      <w:r w:rsidR="00E216DF">
        <w:rPr>
          <w:rFonts w:asciiTheme="minorHAnsi" w:hAnsiTheme="minorHAnsi" w:cs="Arial"/>
        </w:rPr>
        <w:t xml:space="preserve">the </w:t>
      </w:r>
      <w:r w:rsidRPr="009F1A6F">
        <w:rPr>
          <w:rFonts w:asciiTheme="minorHAnsi" w:hAnsiTheme="minorHAnsi" w:cs="Arial"/>
        </w:rPr>
        <w:t>WEM, where the government-owned generator-retailer Synergy has a considerable market share, arrangements to mitigate market power include:</w:t>
      </w:r>
    </w:p>
    <w:p w14:paraId="7C81DD00" w14:textId="77777777" w:rsidR="00B00031" w:rsidRPr="009F1A6F" w:rsidRDefault="00B00031" w:rsidP="00B00031">
      <w:pPr>
        <w:pStyle w:val="ListParagraph"/>
        <w:numPr>
          <w:ilvl w:val="0"/>
          <w:numId w:val="12"/>
        </w:numPr>
        <w:spacing w:before="200"/>
        <w:ind w:left="426"/>
        <w:rPr>
          <w:rFonts w:cs="Arial"/>
        </w:rPr>
      </w:pPr>
      <w:r w:rsidRPr="009F1A6F">
        <w:rPr>
          <w:rFonts w:cs="Arial"/>
        </w:rPr>
        <w:t>a requirement in the market rules for Synergy to make ESS available to the System Controller on request as the default provider; and</w:t>
      </w:r>
    </w:p>
    <w:p w14:paraId="1D0840E3" w14:textId="3BAE4D91" w:rsidR="00B00031" w:rsidRPr="009F1A6F" w:rsidRDefault="00B00031" w:rsidP="00B00031">
      <w:pPr>
        <w:pStyle w:val="ListParagraph"/>
        <w:numPr>
          <w:ilvl w:val="0"/>
          <w:numId w:val="12"/>
        </w:numPr>
        <w:spacing w:before="200"/>
        <w:ind w:left="426"/>
        <w:rPr>
          <w:rFonts w:cs="Arial"/>
        </w:rPr>
      </w:pPr>
      <w:proofErr w:type="gramStart"/>
      <w:r w:rsidRPr="009F1A6F">
        <w:rPr>
          <w:rFonts w:cs="Arial"/>
        </w:rPr>
        <w:t>regulation</w:t>
      </w:r>
      <w:proofErr w:type="gramEnd"/>
      <w:r w:rsidRPr="009F1A6F">
        <w:rPr>
          <w:rFonts w:cs="Arial"/>
        </w:rPr>
        <w:t xml:space="preserve"> of </w:t>
      </w:r>
      <w:r w:rsidR="009933B9">
        <w:rPr>
          <w:rFonts w:cs="Arial"/>
        </w:rPr>
        <w:t>payments</w:t>
      </w:r>
      <w:r w:rsidRPr="009F1A6F">
        <w:rPr>
          <w:rFonts w:cs="Arial"/>
        </w:rPr>
        <w:t xml:space="preserve"> received by Synergy for</w:t>
      </w:r>
      <w:r w:rsidR="009933B9">
        <w:rPr>
          <w:rFonts w:cs="Arial"/>
        </w:rPr>
        <w:t xml:space="preserve"> the provision of non-market</w:t>
      </w:r>
      <w:r w:rsidRPr="009F1A6F">
        <w:rPr>
          <w:rFonts w:cs="Arial"/>
        </w:rPr>
        <w:t xml:space="preserve"> ESS</w:t>
      </w:r>
      <w:r w:rsidR="004C32B1">
        <w:rPr>
          <w:rFonts w:cs="Arial"/>
        </w:rPr>
        <w:t xml:space="preserve">, </w:t>
      </w:r>
      <w:r w:rsidR="009933B9">
        <w:rPr>
          <w:rFonts w:cs="Arial"/>
        </w:rPr>
        <w:t xml:space="preserve">according to market rules and parameters </w:t>
      </w:r>
      <w:r w:rsidR="00384855">
        <w:rPr>
          <w:rFonts w:cs="Arial"/>
        </w:rPr>
        <w:t xml:space="preserve">approved by the </w:t>
      </w:r>
      <w:r w:rsidR="009933B9">
        <w:rPr>
          <w:rFonts w:cs="Arial"/>
        </w:rPr>
        <w:t>Economic Regulation Authority of Western Australia.</w:t>
      </w:r>
    </w:p>
    <w:p w14:paraId="57211D2E" w14:textId="6FE101B8" w:rsidR="00E216DF" w:rsidRPr="009F1A6F" w:rsidRDefault="004C32B1" w:rsidP="00E216DF">
      <w:pPr>
        <w:rPr>
          <w:rFonts w:asciiTheme="minorHAnsi" w:hAnsiTheme="minorHAnsi" w:cs="Arial"/>
        </w:rPr>
      </w:pPr>
      <w:r>
        <w:rPr>
          <w:rFonts w:asciiTheme="minorHAnsi" w:hAnsiTheme="minorHAnsi" w:cs="Arial"/>
        </w:rPr>
        <w:t>As noted previously, any future a</w:t>
      </w:r>
      <w:r w:rsidR="00384855">
        <w:rPr>
          <w:rFonts w:asciiTheme="minorHAnsi" w:hAnsiTheme="minorHAnsi" w:cs="Arial"/>
        </w:rPr>
        <w:t xml:space="preserve">dministered pricing arrangement </w:t>
      </w:r>
      <w:r>
        <w:rPr>
          <w:rFonts w:asciiTheme="minorHAnsi" w:hAnsiTheme="minorHAnsi" w:cs="Arial"/>
        </w:rPr>
        <w:t>and/or other market power mitigation measures</w:t>
      </w:r>
      <w:r w:rsidR="00384855">
        <w:rPr>
          <w:rFonts w:asciiTheme="minorHAnsi" w:hAnsiTheme="minorHAnsi" w:cs="Arial"/>
        </w:rPr>
        <w:t xml:space="preserve"> for the Territory</w:t>
      </w:r>
      <w:r>
        <w:rPr>
          <w:rFonts w:asciiTheme="minorHAnsi" w:hAnsiTheme="minorHAnsi" w:cs="Arial"/>
        </w:rPr>
        <w:t xml:space="preserve"> would need to provide greater transparency to system participants about the cost of providing ESS and </w:t>
      </w:r>
      <w:r w:rsidR="00384855">
        <w:rPr>
          <w:rFonts w:asciiTheme="minorHAnsi" w:hAnsiTheme="minorHAnsi" w:cs="Arial"/>
        </w:rPr>
        <w:t>have provide flexibility to accommodate changes in the characteristics of the system and the costs of providing ESS.</w:t>
      </w:r>
    </w:p>
    <w:tbl>
      <w:tblPr>
        <w:tblStyle w:val="TableGrid"/>
        <w:tblW w:w="0" w:type="auto"/>
        <w:tblLook w:val="04A0" w:firstRow="1" w:lastRow="0" w:firstColumn="1" w:lastColumn="0" w:noHBand="0" w:noVBand="1"/>
      </w:tblPr>
      <w:tblGrid>
        <w:gridCol w:w="10308"/>
      </w:tblGrid>
      <w:tr w:rsidR="00E216DF" w14:paraId="030F21B6" w14:textId="77777777" w:rsidTr="008218E4">
        <w:tc>
          <w:tcPr>
            <w:tcW w:w="0" w:type="auto"/>
          </w:tcPr>
          <w:p w14:paraId="2C694035" w14:textId="77777777" w:rsidR="00E216DF" w:rsidRPr="009F1A6F" w:rsidRDefault="00E216DF" w:rsidP="008218E4">
            <w:pPr>
              <w:keepNext/>
              <w:spacing w:before="120"/>
              <w:rPr>
                <w:rFonts w:asciiTheme="minorHAnsi" w:hAnsiTheme="minorHAnsi" w:cs="Arial"/>
                <w:b/>
              </w:rPr>
            </w:pPr>
            <w:r>
              <w:rPr>
                <w:rFonts w:asciiTheme="minorHAnsi" w:hAnsiTheme="minorHAnsi" w:cs="Arial"/>
                <w:b/>
              </w:rPr>
              <w:lastRenderedPageBreak/>
              <w:t>Question 5</w:t>
            </w:r>
          </w:p>
          <w:p w14:paraId="5CD10A91" w14:textId="77777777" w:rsidR="00EB3D78" w:rsidRDefault="00EB3D78" w:rsidP="008218E4">
            <w:pPr>
              <w:pStyle w:val="ListParagraph"/>
              <w:numPr>
                <w:ilvl w:val="0"/>
                <w:numId w:val="30"/>
              </w:numPr>
              <w:spacing w:before="120"/>
              <w:rPr>
                <w:rFonts w:asciiTheme="minorHAnsi" w:eastAsia="Calibri" w:hAnsiTheme="minorHAnsi" w:cs="Arial"/>
                <w:iCs w:val="0"/>
              </w:rPr>
            </w:pPr>
            <w:r>
              <w:rPr>
                <w:rFonts w:asciiTheme="minorHAnsi" w:eastAsia="Calibri" w:hAnsiTheme="minorHAnsi" w:cs="Arial"/>
                <w:iCs w:val="0"/>
              </w:rPr>
              <w:t>What changes should be made to the current administered pricing arrangements for the provision of</w:t>
            </w:r>
            <w:r w:rsidR="00570E55">
              <w:rPr>
                <w:rFonts w:asciiTheme="minorHAnsi" w:eastAsia="Calibri" w:hAnsiTheme="minorHAnsi" w:cs="Arial"/>
                <w:iCs w:val="0"/>
              </w:rPr>
              <w:t xml:space="preserve"> ESS provided by Territory Generation?</w:t>
            </w:r>
            <w:r>
              <w:rPr>
                <w:rFonts w:asciiTheme="minorHAnsi" w:eastAsia="Calibri" w:hAnsiTheme="minorHAnsi" w:cs="Arial"/>
                <w:iCs w:val="0"/>
              </w:rPr>
              <w:t xml:space="preserve"> </w:t>
            </w:r>
          </w:p>
          <w:p w14:paraId="5A8F4A4B" w14:textId="77777777" w:rsidR="00EB3D78" w:rsidRDefault="00EB3D78" w:rsidP="008218E4">
            <w:pPr>
              <w:pStyle w:val="ListParagraph"/>
              <w:numPr>
                <w:ilvl w:val="1"/>
                <w:numId w:val="30"/>
              </w:numPr>
              <w:spacing w:before="120"/>
              <w:rPr>
                <w:rFonts w:asciiTheme="minorHAnsi" w:eastAsia="Calibri" w:hAnsiTheme="minorHAnsi" w:cs="Arial"/>
                <w:iCs w:val="0"/>
              </w:rPr>
            </w:pPr>
            <w:r>
              <w:rPr>
                <w:rFonts w:asciiTheme="minorHAnsi" w:eastAsia="Calibri" w:hAnsiTheme="minorHAnsi" w:cs="Arial"/>
                <w:iCs w:val="0"/>
              </w:rPr>
              <w:t>What methodology should be used to deter</w:t>
            </w:r>
            <w:r w:rsidR="00570E55">
              <w:rPr>
                <w:rFonts w:asciiTheme="minorHAnsi" w:eastAsia="Calibri" w:hAnsiTheme="minorHAnsi" w:cs="Arial"/>
                <w:iCs w:val="0"/>
              </w:rPr>
              <w:t>mine prices for each of the ESS categories</w:t>
            </w:r>
            <w:r>
              <w:rPr>
                <w:rFonts w:asciiTheme="minorHAnsi" w:eastAsia="Calibri" w:hAnsiTheme="minorHAnsi" w:cs="Arial"/>
                <w:iCs w:val="0"/>
              </w:rPr>
              <w:t>?</w:t>
            </w:r>
          </w:p>
          <w:p w14:paraId="4622157C" w14:textId="77777777" w:rsidR="00EB3D78" w:rsidRPr="008218E4" w:rsidRDefault="00EB3D78" w:rsidP="008218E4">
            <w:pPr>
              <w:pStyle w:val="ListParagraph"/>
              <w:numPr>
                <w:ilvl w:val="1"/>
                <w:numId w:val="30"/>
              </w:numPr>
              <w:spacing w:before="120"/>
              <w:rPr>
                <w:rFonts w:asciiTheme="minorHAnsi" w:eastAsia="Calibri" w:hAnsiTheme="minorHAnsi" w:cs="Arial"/>
                <w:iCs w:val="0"/>
              </w:rPr>
            </w:pPr>
            <w:r>
              <w:rPr>
                <w:rFonts w:asciiTheme="minorHAnsi" w:eastAsia="Calibri" w:hAnsiTheme="minorHAnsi" w:cs="Arial"/>
                <w:iCs w:val="0"/>
              </w:rPr>
              <w:t>What processes should be put in place to ensure the administered prices remain up to date?</w:t>
            </w:r>
          </w:p>
          <w:p w14:paraId="249F01A7" w14:textId="77777777" w:rsidR="00E216DF" w:rsidRPr="008218E4" w:rsidRDefault="00E216DF" w:rsidP="008218E4">
            <w:pPr>
              <w:pStyle w:val="ListParagraph"/>
              <w:numPr>
                <w:ilvl w:val="0"/>
                <w:numId w:val="30"/>
              </w:numPr>
              <w:spacing w:before="120"/>
              <w:rPr>
                <w:rFonts w:asciiTheme="minorHAnsi" w:eastAsia="Calibri" w:hAnsiTheme="minorHAnsi" w:cs="Arial"/>
                <w:iCs w:val="0"/>
              </w:rPr>
            </w:pPr>
            <w:r w:rsidRPr="009F1A6F">
              <w:rPr>
                <w:rFonts w:asciiTheme="minorHAnsi" w:eastAsia="Calibri" w:hAnsiTheme="minorHAnsi" w:cs="Arial"/>
                <w:iCs w:val="0"/>
              </w:rPr>
              <w:t>What market power mitigation me</w:t>
            </w:r>
            <w:r w:rsidR="00EB3D78">
              <w:rPr>
                <w:rFonts w:asciiTheme="minorHAnsi" w:eastAsia="Calibri" w:hAnsiTheme="minorHAnsi" w:cs="Arial"/>
                <w:iCs w:val="0"/>
              </w:rPr>
              <w:t>asures would be appropriate for the provision of different ESS</w:t>
            </w:r>
            <w:r w:rsidR="006430D7">
              <w:rPr>
                <w:rFonts w:asciiTheme="minorHAnsi" w:eastAsia="Calibri" w:hAnsiTheme="minorHAnsi" w:cs="Arial"/>
                <w:iCs w:val="0"/>
              </w:rPr>
              <w:t xml:space="preserve"> by Territory Generation</w:t>
            </w:r>
            <w:r w:rsidR="00570E55">
              <w:rPr>
                <w:rFonts w:asciiTheme="minorHAnsi" w:eastAsia="Calibri" w:hAnsiTheme="minorHAnsi" w:cs="Arial"/>
                <w:iCs w:val="0"/>
              </w:rPr>
              <w:t xml:space="preserve"> under a market provision</w:t>
            </w:r>
            <w:r w:rsidR="00EB3D78">
              <w:rPr>
                <w:rFonts w:asciiTheme="minorHAnsi" w:eastAsia="Calibri" w:hAnsiTheme="minorHAnsi" w:cs="Arial"/>
                <w:iCs w:val="0"/>
              </w:rPr>
              <w:t xml:space="preserve"> framework</w:t>
            </w:r>
            <w:r w:rsidR="006430D7">
              <w:rPr>
                <w:rFonts w:asciiTheme="minorHAnsi" w:eastAsia="Calibri" w:hAnsiTheme="minorHAnsi" w:cs="Arial"/>
                <w:iCs w:val="0"/>
              </w:rPr>
              <w:t>?</w:t>
            </w:r>
          </w:p>
        </w:tc>
      </w:tr>
    </w:tbl>
    <w:p w14:paraId="768D05E0" w14:textId="77777777" w:rsidR="00E216DF" w:rsidRDefault="00E216DF" w:rsidP="00E216DF">
      <w:pPr>
        <w:rPr>
          <w:lang w:eastAsia="en-AU"/>
        </w:rPr>
      </w:pPr>
    </w:p>
    <w:p w14:paraId="1B275C83" w14:textId="77777777" w:rsidR="00E216DF" w:rsidRPr="009F1A6F" w:rsidRDefault="00E216DF" w:rsidP="00B00031">
      <w:pPr>
        <w:rPr>
          <w:rFonts w:asciiTheme="minorHAnsi" w:hAnsiTheme="minorHAnsi" w:cs="Arial"/>
        </w:rPr>
      </w:pPr>
    </w:p>
    <w:p w14:paraId="5014DAFD" w14:textId="77777777" w:rsidR="00891B5E" w:rsidRDefault="00891B5E">
      <w:pPr>
        <w:rPr>
          <w:rFonts w:asciiTheme="minorHAnsi" w:hAnsiTheme="minorHAnsi" w:cs="Arial"/>
        </w:rPr>
      </w:pPr>
      <w:r>
        <w:rPr>
          <w:rFonts w:asciiTheme="minorHAnsi" w:hAnsiTheme="minorHAnsi" w:cs="Arial"/>
        </w:rPr>
        <w:br w:type="page"/>
      </w:r>
    </w:p>
    <w:p w14:paraId="7483CE63" w14:textId="77777777" w:rsidR="00CB560D" w:rsidRPr="00CB560D" w:rsidRDefault="00CB560D" w:rsidP="00CB560D">
      <w:pPr>
        <w:pStyle w:val="Heading1"/>
        <w:rPr>
          <w:lang w:eastAsia="en-AU"/>
        </w:rPr>
      </w:pPr>
      <w:bookmarkStart w:id="26" w:name="_Toc41893987"/>
      <w:bookmarkStart w:id="27" w:name="_Toc41902228"/>
      <w:bookmarkStart w:id="28" w:name="_Toc42235099"/>
      <w:bookmarkStart w:id="29" w:name="_Toc42779169"/>
      <w:bookmarkEnd w:id="26"/>
      <w:bookmarkEnd w:id="27"/>
      <w:bookmarkEnd w:id="28"/>
      <w:r w:rsidRPr="00CB560D">
        <w:rPr>
          <w:lang w:eastAsia="en-AU"/>
        </w:rPr>
        <w:lastRenderedPageBreak/>
        <w:t>Cost allocation and settlement</w:t>
      </w:r>
      <w:bookmarkEnd w:id="29"/>
    </w:p>
    <w:p w14:paraId="7F91AF16" w14:textId="081ACDA0" w:rsidR="00CB560D" w:rsidRPr="009F1A6F" w:rsidRDefault="00CB560D" w:rsidP="00CB560D">
      <w:pPr>
        <w:rPr>
          <w:rFonts w:asciiTheme="minorHAnsi" w:hAnsiTheme="minorHAnsi" w:cs="Arial"/>
        </w:rPr>
      </w:pPr>
      <w:r w:rsidRPr="009F1A6F">
        <w:rPr>
          <w:rFonts w:asciiTheme="minorHAnsi" w:hAnsiTheme="minorHAnsi" w:cs="Arial"/>
        </w:rPr>
        <w:t>The categorisation</w:t>
      </w:r>
      <w:r w:rsidR="00483E56">
        <w:rPr>
          <w:rFonts w:asciiTheme="minorHAnsi" w:hAnsiTheme="minorHAnsi" w:cs="Arial"/>
        </w:rPr>
        <w:t xml:space="preserve"> and</w:t>
      </w:r>
      <w:r w:rsidRPr="009F1A6F">
        <w:rPr>
          <w:rFonts w:asciiTheme="minorHAnsi" w:hAnsiTheme="minorHAnsi" w:cs="Arial"/>
        </w:rPr>
        <w:t xml:space="preserve"> definition </w:t>
      </w:r>
      <w:r w:rsidR="00483E56">
        <w:rPr>
          <w:rFonts w:asciiTheme="minorHAnsi" w:hAnsiTheme="minorHAnsi" w:cs="Arial"/>
        </w:rPr>
        <w:t>of ESS</w:t>
      </w:r>
      <w:r w:rsidRPr="009F1A6F">
        <w:rPr>
          <w:rFonts w:asciiTheme="minorHAnsi" w:hAnsiTheme="minorHAnsi" w:cs="Arial"/>
        </w:rPr>
        <w:t xml:space="preserve"> would enable the costs of procuring these services to be unbundled and allocated on a ‘causer pays’ basis. </w:t>
      </w:r>
    </w:p>
    <w:p w14:paraId="12F6DA67" w14:textId="77777777" w:rsidR="00CB560D" w:rsidRPr="00CB560D" w:rsidRDefault="00CB560D" w:rsidP="00CB560D">
      <w:pPr>
        <w:pStyle w:val="Heading2"/>
        <w:keepNext/>
        <w:rPr>
          <w:lang w:eastAsia="en-AU"/>
        </w:rPr>
      </w:pPr>
      <w:bookmarkStart w:id="30" w:name="_Toc42779170"/>
      <w:r w:rsidRPr="00CB560D">
        <w:rPr>
          <w:lang w:eastAsia="en-AU"/>
        </w:rPr>
        <w:t>Current arrangements</w:t>
      </w:r>
      <w:bookmarkEnd w:id="30"/>
    </w:p>
    <w:p w14:paraId="23255B31" w14:textId="7FF0B17D" w:rsidR="00CB560D" w:rsidRPr="009F1A6F" w:rsidRDefault="00CB560D" w:rsidP="00CB560D">
      <w:pPr>
        <w:rPr>
          <w:rFonts w:asciiTheme="minorHAnsi" w:hAnsiTheme="minorHAnsi" w:cs="Arial"/>
        </w:rPr>
      </w:pPr>
      <w:r w:rsidRPr="009F1A6F">
        <w:rPr>
          <w:rFonts w:asciiTheme="minorHAnsi" w:hAnsiTheme="minorHAnsi" w:cs="Arial"/>
        </w:rPr>
        <w:t>Under the SCTC, Territory Generation is the mandated provider of ESS and is entitled to receive payment from other licenced generators of $5.40</w:t>
      </w:r>
      <w:r w:rsidR="006430D7">
        <w:rPr>
          <w:rFonts w:asciiTheme="minorHAnsi" w:hAnsiTheme="minorHAnsi" w:cs="Arial"/>
        </w:rPr>
        <w:t>/MWh</w:t>
      </w:r>
      <w:r w:rsidRPr="009F1A6F">
        <w:rPr>
          <w:rFonts w:asciiTheme="minorHAnsi" w:hAnsiTheme="minorHAnsi" w:cs="Arial"/>
        </w:rPr>
        <w:t xml:space="preserve"> of electricity they send out in each settlement period (one calendar month).</w:t>
      </w:r>
    </w:p>
    <w:p w14:paraId="6B281BFF" w14:textId="4FD6010B" w:rsidR="00CB560D" w:rsidRPr="009F1A6F" w:rsidRDefault="00CB560D" w:rsidP="00CB560D">
      <w:pPr>
        <w:rPr>
          <w:rFonts w:asciiTheme="minorHAnsi" w:hAnsiTheme="minorHAnsi" w:cs="Arial"/>
        </w:rPr>
      </w:pPr>
      <w:r w:rsidRPr="009F1A6F">
        <w:rPr>
          <w:rFonts w:asciiTheme="minorHAnsi" w:hAnsiTheme="minorHAnsi" w:cs="Arial"/>
        </w:rPr>
        <w:t>Settlement of ESS is facilitated by the Market Operator, which calculates the ESS quantity for each generator and issues a settlement statement. Territory Generation then issues invoices to other generators, which are required to be paid within 30 days.</w:t>
      </w:r>
    </w:p>
    <w:p w14:paraId="7CC7047D" w14:textId="77777777" w:rsidR="00CB560D" w:rsidRPr="009F1A6F" w:rsidRDefault="00CB560D" w:rsidP="00BE0579">
      <w:pPr>
        <w:pStyle w:val="Heading3"/>
      </w:pPr>
      <w:r w:rsidRPr="009F1A6F">
        <w:t>Islanding events</w:t>
      </w:r>
    </w:p>
    <w:p w14:paraId="7A041D2D" w14:textId="6F453F8C" w:rsidR="00CB560D" w:rsidRPr="009F1A6F" w:rsidRDefault="00CB560D" w:rsidP="00CB560D">
      <w:pPr>
        <w:rPr>
          <w:rFonts w:asciiTheme="minorHAnsi" w:hAnsiTheme="minorHAnsi" w:cs="Arial"/>
        </w:rPr>
      </w:pPr>
      <w:r w:rsidRPr="009F1A6F">
        <w:rPr>
          <w:rFonts w:asciiTheme="minorHAnsi" w:hAnsiTheme="minorHAnsi" w:cs="Arial"/>
        </w:rPr>
        <w:t>Under certain circumstances, such as when Pine Creek is islanded, the generator at Pine Creek (E</w:t>
      </w:r>
      <w:r w:rsidR="00483E56">
        <w:rPr>
          <w:rFonts w:asciiTheme="minorHAnsi" w:hAnsiTheme="minorHAnsi" w:cs="Arial"/>
        </w:rPr>
        <w:t>DL</w:t>
      </w:r>
      <w:r w:rsidRPr="009F1A6F">
        <w:rPr>
          <w:rFonts w:asciiTheme="minorHAnsi" w:hAnsiTheme="minorHAnsi" w:cs="Arial"/>
        </w:rPr>
        <w:t>) is required by the System Controller to provide ESS. The System Controller reduces the ESS price for EDL in proportion to the period within each market interval (30 minutes) that EDL was required to provide ESS (this is a workaround required because the SCTC does not permit the System Controller to amend ESS quantities).</w:t>
      </w:r>
      <w:r w:rsidR="00996BBF">
        <w:rPr>
          <w:rStyle w:val="FootnoteReference"/>
          <w:rFonts w:asciiTheme="minorHAnsi" w:hAnsiTheme="minorHAnsi" w:cs="Arial"/>
        </w:rPr>
        <w:footnoteReference w:id="29"/>
      </w:r>
    </w:p>
    <w:p w14:paraId="0AE04B9A" w14:textId="77777777" w:rsidR="00CB560D" w:rsidRPr="00CB560D" w:rsidRDefault="00CB560D" w:rsidP="00CB560D">
      <w:pPr>
        <w:pStyle w:val="Heading2"/>
        <w:keepNext/>
        <w:rPr>
          <w:lang w:eastAsia="en-AU"/>
        </w:rPr>
      </w:pPr>
      <w:bookmarkStart w:id="31" w:name="_Toc42779171"/>
      <w:r w:rsidRPr="00CB560D">
        <w:rPr>
          <w:lang w:eastAsia="en-AU"/>
        </w:rPr>
        <w:t>Case for change</w:t>
      </w:r>
      <w:bookmarkEnd w:id="31"/>
    </w:p>
    <w:p w14:paraId="59C0F6FC" w14:textId="77777777" w:rsidR="00CB560D" w:rsidRPr="009F1A6F" w:rsidRDefault="00CB560D" w:rsidP="00CB560D">
      <w:pPr>
        <w:rPr>
          <w:rFonts w:asciiTheme="minorHAnsi" w:hAnsiTheme="minorHAnsi" w:cs="Arial"/>
        </w:rPr>
      </w:pPr>
      <w:r w:rsidRPr="009F1A6F">
        <w:rPr>
          <w:rFonts w:asciiTheme="minorHAnsi" w:hAnsiTheme="minorHAnsi" w:cs="Arial"/>
        </w:rPr>
        <w:t>The current cost allocation method under the SCTC allocates all ESS costs to licenced generators based on their proportion of total energy sent out.</w:t>
      </w:r>
    </w:p>
    <w:p w14:paraId="5AD0098C" w14:textId="059E31EE" w:rsidR="00CB560D" w:rsidRPr="009F1A6F" w:rsidRDefault="00CB560D" w:rsidP="00CB560D">
      <w:pPr>
        <w:rPr>
          <w:rFonts w:asciiTheme="minorHAnsi" w:hAnsiTheme="minorHAnsi" w:cs="Arial"/>
        </w:rPr>
      </w:pPr>
      <w:r w:rsidRPr="009F1A6F">
        <w:rPr>
          <w:rFonts w:asciiTheme="minorHAnsi" w:hAnsiTheme="minorHAnsi" w:cs="Arial"/>
        </w:rPr>
        <w:t xml:space="preserve">This arrangement is inequitable because it does not allocate costs between </w:t>
      </w:r>
      <w:proofErr w:type="gramStart"/>
      <w:r w:rsidRPr="009F1A6F">
        <w:rPr>
          <w:rFonts w:asciiTheme="minorHAnsi" w:hAnsiTheme="minorHAnsi" w:cs="Arial"/>
        </w:rPr>
        <w:t>system</w:t>
      </w:r>
      <w:proofErr w:type="gramEnd"/>
      <w:r w:rsidRPr="009F1A6F">
        <w:rPr>
          <w:rFonts w:asciiTheme="minorHAnsi" w:hAnsiTheme="minorHAnsi" w:cs="Arial"/>
        </w:rPr>
        <w:t xml:space="preserve"> participants on the basis of the benefits received from the ESS provided. Although licenced generators benefit from the provision of ESS, all other system participants also benefit, including unlicensed generators such as small</w:t>
      </w:r>
      <w:r w:rsidR="006430D7">
        <w:rPr>
          <w:rFonts w:asciiTheme="minorHAnsi" w:hAnsiTheme="minorHAnsi" w:cs="Arial"/>
        </w:rPr>
        <w:noBreakHyphen/>
      </w:r>
      <w:r w:rsidRPr="009F1A6F">
        <w:rPr>
          <w:rFonts w:asciiTheme="minorHAnsi" w:hAnsiTheme="minorHAnsi" w:cs="Arial"/>
        </w:rPr>
        <w:t>scale solar PV and consumers.</w:t>
      </w:r>
    </w:p>
    <w:p w14:paraId="7A0B1E31" w14:textId="6ECC2A02" w:rsidR="00CB560D" w:rsidRPr="009F1A6F" w:rsidRDefault="00CB560D" w:rsidP="00CB560D">
      <w:pPr>
        <w:rPr>
          <w:rFonts w:asciiTheme="minorHAnsi" w:hAnsiTheme="minorHAnsi" w:cs="Arial"/>
        </w:rPr>
      </w:pPr>
      <w:r w:rsidRPr="009F1A6F">
        <w:rPr>
          <w:rFonts w:asciiTheme="minorHAnsi" w:hAnsiTheme="minorHAnsi" w:cs="Arial"/>
        </w:rPr>
        <w:t>The current arrangement is</w:t>
      </w:r>
      <w:r w:rsidR="006430D7">
        <w:rPr>
          <w:rFonts w:asciiTheme="minorHAnsi" w:hAnsiTheme="minorHAnsi" w:cs="Arial"/>
        </w:rPr>
        <w:t xml:space="preserve"> also</w:t>
      </w:r>
      <w:r w:rsidRPr="009F1A6F">
        <w:rPr>
          <w:rFonts w:asciiTheme="minorHAnsi" w:hAnsiTheme="minorHAnsi" w:cs="Arial"/>
        </w:rPr>
        <w:t xml:space="preserve"> inefficient as it does not provide incentives for system participants to manage their contribution to</w:t>
      </w:r>
      <w:r w:rsidR="006430D7">
        <w:rPr>
          <w:rFonts w:asciiTheme="minorHAnsi" w:hAnsiTheme="minorHAnsi" w:cs="Arial"/>
        </w:rPr>
        <w:t>,</w:t>
      </w:r>
      <w:r w:rsidRPr="009F1A6F">
        <w:rPr>
          <w:rFonts w:asciiTheme="minorHAnsi" w:hAnsiTheme="minorHAnsi" w:cs="Arial"/>
        </w:rPr>
        <w:t xml:space="preserve"> or assist with the correction of</w:t>
      </w:r>
      <w:r w:rsidR="006430D7">
        <w:rPr>
          <w:rFonts w:asciiTheme="minorHAnsi" w:hAnsiTheme="minorHAnsi" w:cs="Arial"/>
        </w:rPr>
        <w:t>,</w:t>
      </w:r>
      <w:r w:rsidRPr="009F1A6F">
        <w:rPr>
          <w:rFonts w:asciiTheme="minorHAnsi" w:hAnsiTheme="minorHAnsi" w:cs="Arial"/>
        </w:rPr>
        <w:t xml:space="preserve"> frequency deviations which are the primary drivers of </w:t>
      </w:r>
      <w:r w:rsidR="006430D7">
        <w:rPr>
          <w:rFonts w:asciiTheme="minorHAnsi" w:hAnsiTheme="minorHAnsi" w:cs="Arial"/>
        </w:rPr>
        <w:t>service requirements and costs of Regulation</w:t>
      </w:r>
      <w:r w:rsidRPr="009F1A6F">
        <w:rPr>
          <w:rFonts w:asciiTheme="minorHAnsi" w:hAnsiTheme="minorHAnsi" w:cs="Arial"/>
        </w:rPr>
        <w:t xml:space="preserve"> ESS.</w:t>
      </w:r>
    </w:p>
    <w:p w14:paraId="179231F1" w14:textId="77777777" w:rsidR="00CB560D" w:rsidRPr="00CB560D" w:rsidRDefault="00CB560D" w:rsidP="00CB560D">
      <w:pPr>
        <w:pStyle w:val="Heading2"/>
        <w:keepNext/>
        <w:rPr>
          <w:lang w:eastAsia="en-AU"/>
        </w:rPr>
      </w:pPr>
      <w:bookmarkStart w:id="32" w:name="_Toc42779172"/>
      <w:r w:rsidRPr="00CB560D">
        <w:rPr>
          <w:lang w:eastAsia="en-AU"/>
        </w:rPr>
        <w:t>Issues</w:t>
      </w:r>
      <w:bookmarkEnd w:id="32"/>
    </w:p>
    <w:p w14:paraId="3CEA2001" w14:textId="77777777" w:rsidR="00CB560D" w:rsidRPr="009F1A6F" w:rsidRDefault="00CB560D" w:rsidP="009F1A6F">
      <w:pPr>
        <w:rPr>
          <w:rFonts w:asciiTheme="minorHAnsi" w:hAnsiTheme="minorHAnsi" w:cs="Arial"/>
        </w:rPr>
      </w:pPr>
      <w:r w:rsidRPr="009F1A6F">
        <w:rPr>
          <w:rFonts w:asciiTheme="minorHAnsi" w:hAnsiTheme="minorHAnsi" w:cs="Arial"/>
        </w:rPr>
        <w:t xml:space="preserve">In mature markets, such as the NEM, </w:t>
      </w:r>
      <w:r w:rsidR="003324A4">
        <w:rPr>
          <w:rFonts w:asciiTheme="minorHAnsi" w:hAnsiTheme="minorHAnsi" w:cs="Arial"/>
        </w:rPr>
        <w:t xml:space="preserve">ESS </w:t>
      </w:r>
      <w:r w:rsidRPr="009F1A6F">
        <w:rPr>
          <w:rFonts w:asciiTheme="minorHAnsi" w:hAnsiTheme="minorHAnsi" w:cs="Arial"/>
        </w:rPr>
        <w:t xml:space="preserve">costs are typically allocated to parties who are deemed to have caused the need for the services and have capacity to take action to reduce the need. In the NEM, this has resulted in the following </w:t>
      </w:r>
      <w:r w:rsidR="003324A4">
        <w:rPr>
          <w:rFonts w:asciiTheme="minorHAnsi" w:hAnsiTheme="minorHAnsi" w:cs="Arial"/>
        </w:rPr>
        <w:t xml:space="preserve">cost </w:t>
      </w:r>
      <w:r w:rsidRPr="009F1A6F">
        <w:rPr>
          <w:rFonts w:asciiTheme="minorHAnsi" w:hAnsiTheme="minorHAnsi" w:cs="Arial"/>
        </w:rPr>
        <w:t>allocations.</w:t>
      </w:r>
      <w:r w:rsidRPr="009F1A6F">
        <w:rPr>
          <w:rFonts w:asciiTheme="minorHAnsi" w:hAnsiTheme="minorHAnsi"/>
          <w:vertAlign w:val="superscript"/>
        </w:rPr>
        <w:footnoteReference w:id="30"/>
      </w:r>
    </w:p>
    <w:p w14:paraId="7CDA9CC1" w14:textId="1690F0DD" w:rsidR="00CB560D" w:rsidRPr="009F1A6F" w:rsidRDefault="00CB560D" w:rsidP="009F1A6F">
      <w:pPr>
        <w:pStyle w:val="ListParagraph"/>
        <w:numPr>
          <w:ilvl w:val="0"/>
          <w:numId w:val="12"/>
        </w:numPr>
        <w:spacing w:before="200"/>
        <w:ind w:left="426"/>
        <w:rPr>
          <w:rFonts w:cs="Arial"/>
        </w:rPr>
      </w:pPr>
      <w:r w:rsidRPr="009F1A6F">
        <w:rPr>
          <w:rFonts w:cs="Arial"/>
        </w:rPr>
        <w:t>Contingency raise ESS, which are required to manage the loss of the largest generator on the system, are recovered from generators based on their proportion of total energy production.</w:t>
      </w:r>
    </w:p>
    <w:p w14:paraId="69BC8282" w14:textId="77777777" w:rsidR="00CB560D" w:rsidRPr="009F1A6F" w:rsidRDefault="00CB560D" w:rsidP="009F1A6F">
      <w:pPr>
        <w:pStyle w:val="ListParagraph"/>
        <w:numPr>
          <w:ilvl w:val="0"/>
          <w:numId w:val="12"/>
        </w:numPr>
        <w:spacing w:before="200"/>
        <w:ind w:left="426"/>
        <w:rPr>
          <w:rFonts w:cs="Arial"/>
        </w:rPr>
      </w:pPr>
      <w:r w:rsidRPr="009F1A6F">
        <w:rPr>
          <w:rFonts w:cs="Arial"/>
        </w:rPr>
        <w:lastRenderedPageBreak/>
        <w:t xml:space="preserve">Contingency lower ESS, which are required to manage the loss of the largest load or transmission element, are recovered from customers based on their proportion of total energy consumption. </w:t>
      </w:r>
    </w:p>
    <w:p w14:paraId="7FE7B2BA" w14:textId="77777777" w:rsidR="00CB560D" w:rsidRPr="009F1A6F" w:rsidRDefault="00CB560D" w:rsidP="009F1A6F">
      <w:pPr>
        <w:pStyle w:val="ListParagraph"/>
        <w:numPr>
          <w:ilvl w:val="0"/>
          <w:numId w:val="12"/>
        </w:numPr>
        <w:spacing w:before="200"/>
        <w:ind w:left="426"/>
        <w:rPr>
          <w:rFonts w:cs="Arial"/>
        </w:rPr>
      </w:pPr>
      <w:r w:rsidRPr="009F1A6F">
        <w:rPr>
          <w:rFonts w:cs="Arial"/>
        </w:rPr>
        <w:t>Regulation ESS, which are required to correct frequency deviations, are recovered from generators and customers which contribute to frequency deviations. Generators whose production and customers whose consumption cause frequency deviations or that do not contribute to their correction are allocated higher contribution factors than those that do not cause or assist to correct frequency deviations.</w:t>
      </w:r>
    </w:p>
    <w:p w14:paraId="76C09349" w14:textId="77777777" w:rsidR="00CB560D" w:rsidRPr="009F1A6F" w:rsidRDefault="00CB560D" w:rsidP="009F1A6F">
      <w:pPr>
        <w:pStyle w:val="ListParagraph"/>
        <w:numPr>
          <w:ilvl w:val="0"/>
          <w:numId w:val="12"/>
        </w:numPr>
        <w:spacing w:before="200"/>
        <w:ind w:left="426"/>
        <w:rPr>
          <w:rFonts w:cs="Arial"/>
        </w:rPr>
      </w:pPr>
      <w:r w:rsidRPr="009F1A6F">
        <w:rPr>
          <w:rFonts w:cs="Arial"/>
        </w:rPr>
        <w:t>Network Support ESS or System Restart ESS, which are required to assist with voltage control or restoration of the system, and which benefit all system participants, are recovered from all system participants in proportion to their energy production and consumption.</w:t>
      </w:r>
    </w:p>
    <w:p w14:paraId="54DF5253" w14:textId="07A82CF3" w:rsidR="00CB560D" w:rsidRPr="0081278C" w:rsidRDefault="00CB560D" w:rsidP="00CB560D">
      <w:pPr>
        <w:rPr>
          <w:rFonts w:asciiTheme="minorHAnsi" w:hAnsiTheme="minorHAnsi" w:cs="Arial"/>
        </w:rPr>
      </w:pPr>
      <w:r w:rsidRPr="0081278C">
        <w:rPr>
          <w:rFonts w:asciiTheme="minorHAnsi" w:hAnsiTheme="minorHAnsi" w:cs="Arial"/>
        </w:rPr>
        <w:t>Introducing a causer pays approach in the Territory would have equity and efficiency benefits by allocating costs fairly on the basis of benefits received (for contingency, network support and system restart ESS) and incentivising system participants to manage output to correct or minimise their contribution to frequency deviations (</w:t>
      </w:r>
      <w:r w:rsidR="0074542C">
        <w:rPr>
          <w:rFonts w:asciiTheme="minorHAnsi" w:hAnsiTheme="minorHAnsi" w:cs="Arial"/>
        </w:rPr>
        <w:t>R</w:t>
      </w:r>
      <w:r w:rsidRPr="0081278C">
        <w:rPr>
          <w:rFonts w:asciiTheme="minorHAnsi" w:hAnsiTheme="minorHAnsi" w:cs="Arial"/>
        </w:rPr>
        <w:t>egulation ESS).</w:t>
      </w:r>
    </w:p>
    <w:p w14:paraId="16662F45" w14:textId="59D112A2" w:rsidR="006430D7" w:rsidRPr="0081278C" w:rsidRDefault="00CB560D" w:rsidP="00CB560D">
      <w:pPr>
        <w:rPr>
          <w:rFonts w:asciiTheme="minorHAnsi" w:hAnsiTheme="minorHAnsi" w:cs="Arial"/>
        </w:rPr>
      </w:pPr>
      <w:r w:rsidRPr="0081278C">
        <w:rPr>
          <w:rFonts w:asciiTheme="minorHAnsi" w:hAnsiTheme="minorHAnsi" w:cs="Arial"/>
        </w:rPr>
        <w:t xml:space="preserve">A causer pays framework would need to consider roles and responsibilities, payment methods and processes including potential prudential requirements for participants with suitable ‘checks-and-balances’ to provide assurance of procedural fairness, and best value for the consumer. </w:t>
      </w:r>
      <w:r w:rsidR="003324A4" w:rsidRPr="0081278C">
        <w:rPr>
          <w:rFonts w:asciiTheme="minorHAnsi" w:hAnsiTheme="minorHAnsi" w:cs="Arial"/>
        </w:rPr>
        <w:t>Changes to the current I</w:t>
      </w:r>
      <w:r w:rsidR="003324A4" w:rsidRPr="0081278C">
        <w:rPr>
          <w:rFonts w:asciiTheme="minorHAnsi" w:hAnsiTheme="minorHAnsi" w:cs="Arial"/>
        </w:rPr>
        <w:noBreakHyphen/>
      </w:r>
      <w:r w:rsidR="006430D7" w:rsidRPr="0081278C">
        <w:rPr>
          <w:rFonts w:asciiTheme="minorHAnsi" w:hAnsiTheme="minorHAnsi" w:cs="Arial"/>
        </w:rPr>
        <w:t xml:space="preserve">NTEM settlement arrangements </w:t>
      </w:r>
      <w:r w:rsidR="003324A4" w:rsidRPr="0081278C">
        <w:rPr>
          <w:rFonts w:asciiTheme="minorHAnsi" w:hAnsiTheme="minorHAnsi" w:cs="Arial"/>
        </w:rPr>
        <w:t xml:space="preserve">which also form </w:t>
      </w:r>
      <w:r w:rsidR="006430D7" w:rsidRPr="0081278C">
        <w:rPr>
          <w:rFonts w:asciiTheme="minorHAnsi" w:hAnsiTheme="minorHAnsi" w:cs="Arial"/>
        </w:rPr>
        <w:t>part of the Northern Territory Electricity Market Priority Reform Prog</w:t>
      </w:r>
      <w:r w:rsidR="003324A4" w:rsidRPr="0081278C">
        <w:rPr>
          <w:rFonts w:asciiTheme="minorHAnsi" w:hAnsiTheme="minorHAnsi" w:cs="Arial"/>
        </w:rPr>
        <w:t>ram, are an important precedent</w:t>
      </w:r>
      <w:r w:rsidR="006430D7" w:rsidRPr="0081278C">
        <w:rPr>
          <w:rFonts w:asciiTheme="minorHAnsi" w:hAnsiTheme="minorHAnsi" w:cs="Arial"/>
        </w:rPr>
        <w:t xml:space="preserve"> for this review of ESS.</w:t>
      </w:r>
    </w:p>
    <w:tbl>
      <w:tblPr>
        <w:tblStyle w:val="TableGrid"/>
        <w:tblW w:w="5000" w:type="pct"/>
        <w:tblLook w:val="04A0" w:firstRow="1" w:lastRow="0" w:firstColumn="1" w:lastColumn="0" w:noHBand="0" w:noVBand="1"/>
      </w:tblPr>
      <w:tblGrid>
        <w:gridCol w:w="10308"/>
      </w:tblGrid>
      <w:tr w:rsidR="00CB560D" w14:paraId="17C51341" w14:textId="77777777" w:rsidTr="008218E4">
        <w:tc>
          <w:tcPr>
            <w:tcW w:w="5000" w:type="pct"/>
          </w:tcPr>
          <w:p w14:paraId="693019DE" w14:textId="517500B6" w:rsidR="00CB560D" w:rsidRPr="0081278C" w:rsidRDefault="00CE7680" w:rsidP="00CB560D">
            <w:pPr>
              <w:spacing w:before="120" w:after="120"/>
              <w:rPr>
                <w:rFonts w:ascii="Arial" w:hAnsi="Arial" w:cs="Arial"/>
                <w:b/>
              </w:rPr>
            </w:pPr>
            <w:r w:rsidRPr="0081278C">
              <w:rPr>
                <w:rFonts w:ascii="Arial" w:hAnsi="Arial" w:cs="Arial"/>
                <w:b/>
              </w:rPr>
              <w:t xml:space="preserve">Question </w:t>
            </w:r>
            <w:r w:rsidR="00BF70FC" w:rsidRPr="0081278C">
              <w:rPr>
                <w:rFonts w:ascii="Arial" w:hAnsi="Arial" w:cs="Arial"/>
                <w:b/>
              </w:rPr>
              <w:t>6</w:t>
            </w:r>
          </w:p>
          <w:p w14:paraId="755D5581" w14:textId="77777777" w:rsidR="00CB560D" w:rsidRPr="0081278C" w:rsidRDefault="00CB560D" w:rsidP="009F1A6F">
            <w:pPr>
              <w:pStyle w:val="ListParagraph"/>
              <w:numPr>
                <w:ilvl w:val="0"/>
                <w:numId w:val="20"/>
              </w:numPr>
              <w:spacing w:before="120"/>
              <w:rPr>
                <w:rFonts w:asciiTheme="minorHAnsi" w:eastAsia="Calibri" w:hAnsiTheme="minorHAnsi" w:cs="Arial"/>
                <w:iCs w:val="0"/>
              </w:rPr>
            </w:pPr>
            <w:r w:rsidRPr="0081278C">
              <w:rPr>
                <w:rFonts w:asciiTheme="minorHAnsi" w:eastAsia="Calibri" w:hAnsiTheme="minorHAnsi" w:cs="Arial"/>
                <w:iCs w:val="0"/>
              </w:rPr>
              <w:t>What are the appropriate bases for the allocation of ESS costs?</w:t>
            </w:r>
          </w:p>
          <w:p w14:paraId="18A6195F" w14:textId="77777777" w:rsidR="00CB560D" w:rsidRPr="0081278C" w:rsidRDefault="00CB560D" w:rsidP="009F1A6F">
            <w:pPr>
              <w:pStyle w:val="ListParagraph"/>
              <w:numPr>
                <w:ilvl w:val="0"/>
                <w:numId w:val="20"/>
              </w:numPr>
              <w:spacing w:before="120"/>
              <w:rPr>
                <w:rFonts w:asciiTheme="minorHAnsi" w:eastAsia="Calibri" w:hAnsiTheme="minorHAnsi" w:cs="Arial"/>
                <w:iCs w:val="0"/>
              </w:rPr>
            </w:pPr>
            <w:r w:rsidRPr="0081278C">
              <w:rPr>
                <w:rFonts w:asciiTheme="minorHAnsi" w:eastAsia="Calibri" w:hAnsiTheme="minorHAnsi" w:cs="Arial"/>
                <w:iCs w:val="0"/>
              </w:rPr>
              <w:t>Are there alternative</w:t>
            </w:r>
            <w:r w:rsidR="006430D7" w:rsidRPr="0081278C">
              <w:rPr>
                <w:rFonts w:asciiTheme="minorHAnsi" w:eastAsia="Calibri" w:hAnsiTheme="minorHAnsi" w:cs="Arial"/>
                <w:iCs w:val="0"/>
              </w:rPr>
              <w:t>s</w:t>
            </w:r>
            <w:r w:rsidRPr="0081278C">
              <w:rPr>
                <w:rFonts w:asciiTheme="minorHAnsi" w:eastAsia="Calibri" w:hAnsiTheme="minorHAnsi" w:cs="Arial"/>
                <w:iCs w:val="0"/>
              </w:rPr>
              <w:t xml:space="preserve"> to a causer pays approach for the recovery of the ESS costs?</w:t>
            </w:r>
          </w:p>
          <w:p w14:paraId="37280D61" w14:textId="77777777" w:rsidR="00CB560D" w:rsidRPr="0081278C" w:rsidRDefault="00CB560D" w:rsidP="009F1A6F">
            <w:pPr>
              <w:pStyle w:val="ListParagraph"/>
              <w:numPr>
                <w:ilvl w:val="0"/>
                <w:numId w:val="20"/>
              </w:numPr>
              <w:spacing w:before="120"/>
              <w:rPr>
                <w:rFonts w:asciiTheme="minorHAnsi" w:eastAsia="Calibri" w:hAnsiTheme="minorHAnsi" w:cs="Arial"/>
                <w:iCs w:val="0"/>
              </w:rPr>
            </w:pPr>
            <w:r w:rsidRPr="0081278C">
              <w:rPr>
                <w:rFonts w:asciiTheme="minorHAnsi" w:eastAsia="Calibri" w:hAnsiTheme="minorHAnsi" w:cs="Arial"/>
                <w:iCs w:val="0"/>
              </w:rPr>
              <w:t>Are there any technical barriers to the adoption of a causer pays or alternative approaches to ESS cost recovery in the Territory?</w:t>
            </w:r>
          </w:p>
          <w:p w14:paraId="1696211A" w14:textId="77777777" w:rsidR="00CB560D" w:rsidRPr="0081278C" w:rsidRDefault="00CB560D" w:rsidP="009F1A6F">
            <w:pPr>
              <w:pStyle w:val="ListParagraph"/>
              <w:numPr>
                <w:ilvl w:val="0"/>
                <w:numId w:val="20"/>
              </w:numPr>
              <w:spacing w:before="120"/>
              <w:rPr>
                <w:rFonts w:asciiTheme="minorHAnsi" w:eastAsia="Calibri" w:hAnsiTheme="minorHAnsi" w:cs="Arial"/>
                <w:iCs w:val="0"/>
              </w:rPr>
            </w:pPr>
            <w:r w:rsidRPr="0081278C">
              <w:rPr>
                <w:rFonts w:asciiTheme="minorHAnsi" w:eastAsia="Calibri" w:hAnsiTheme="minorHAnsi" w:cs="Arial"/>
                <w:iCs w:val="0"/>
              </w:rPr>
              <w:t>What issues would the transition to a causer pays or alternative basis of ESS cost allocation present for system participants?</w:t>
            </w:r>
          </w:p>
          <w:p w14:paraId="18809446" w14:textId="77777777" w:rsidR="00CB560D" w:rsidRPr="0081278C" w:rsidRDefault="00CB560D" w:rsidP="009F1A6F">
            <w:pPr>
              <w:pStyle w:val="ListParagraph"/>
              <w:numPr>
                <w:ilvl w:val="0"/>
                <w:numId w:val="20"/>
              </w:numPr>
              <w:spacing w:before="120"/>
              <w:rPr>
                <w:rFonts w:ascii="Arial" w:hAnsi="Arial" w:cs="Arial"/>
              </w:rPr>
            </w:pPr>
            <w:r w:rsidRPr="0081278C">
              <w:rPr>
                <w:rFonts w:asciiTheme="minorHAnsi" w:eastAsia="Calibri" w:hAnsiTheme="minorHAnsi" w:cs="Arial"/>
                <w:iCs w:val="0"/>
              </w:rPr>
              <w:t>What oversight or regulatory arrangements should accompany any causer pays cost allocation or alternative arrangements?</w:t>
            </w:r>
          </w:p>
        </w:tc>
      </w:tr>
    </w:tbl>
    <w:p w14:paraId="7E806593" w14:textId="77777777" w:rsidR="00CB560D" w:rsidRPr="006A08F8" w:rsidRDefault="00CB560D" w:rsidP="00CB560D">
      <w:pPr>
        <w:rPr>
          <w:rFonts w:ascii="Arial" w:hAnsi="Arial" w:cs="Arial"/>
        </w:rPr>
      </w:pPr>
    </w:p>
    <w:p w14:paraId="1EC5A4C0" w14:textId="77777777" w:rsidR="00CB560D" w:rsidRDefault="00CB560D" w:rsidP="00CB560D">
      <w:pPr>
        <w:rPr>
          <w:rFonts w:ascii="Arial" w:hAnsi="Arial" w:cs="Arial"/>
        </w:rPr>
      </w:pPr>
      <w:r>
        <w:rPr>
          <w:rFonts w:ascii="Arial" w:hAnsi="Arial" w:cs="Arial"/>
        </w:rPr>
        <w:br w:type="page"/>
      </w:r>
    </w:p>
    <w:p w14:paraId="1F4E2667" w14:textId="77777777" w:rsidR="00CB560D" w:rsidRPr="00CB560D" w:rsidRDefault="00CB560D" w:rsidP="00CB560D">
      <w:pPr>
        <w:pStyle w:val="Heading1"/>
        <w:rPr>
          <w:lang w:eastAsia="en-AU"/>
        </w:rPr>
      </w:pPr>
      <w:bookmarkStart w:id="33" w:name="_Toc42779173"/>
      <w:r w:rsidRPr="00CB560D">
        <w:rPr>
          <w:lang w:eastAsia="en-AU"/>
        </w:rPr>
        <w:lastRenderedPageBreak/>
        <w:t>Other issues</w:t>
      </w:r>
      <w:bookmarkEnd w:id="33"/>
    </w:p>
    <w:p w14:paraId="1424104B" w14:textId="77777777" w:rsidR="00CB560D" w:rsidRPr="00CB560D" w:rsidRDefault="00CB560D" w:rsidP="00CB560D">
      <w:pPr>
        <w:pStyle w:val="Heading2"/>
        <w:keepNext/>
        <w:rPr>
          <w:lang w:eastAsia="en-AU"/>
        </w:rPr>
      </w:pPr>
      <w:bookmarkStart w:id="34" w:name="_Toc42779174"/>
      <w:r w:rsidRPr="00CB560D">
        <w:rPr>
          <w:lang w:eastAsia="en-AU"/>
        </w:rPr>
        <w:t>Legislative and regulatory framework</w:t>
      </w:r>
      <w:bookmarkEnd w:id="34"/>
    </w:p>
    <w:p w14:paraId="4691BCAD" w14:textId="39A46CBB" w:rsidR="00CB560D" w:rsidRPr="009F1A6F" w:rsidRDefault="00CB560D" w:rsidP="00CB560D">
      <w:pPr>
        <w:rPr>
          <w:rFonts w:asciiTheme="minorHAnsi" w:hAnsiTheme="minorHAnsi" w:cs="Arial"/>
        </w:rPr>
      </w:pPr>
      <w:r w:rsidRPr="009F1A6F">
        <w:rPr>
          <w:rFonts w:asciiTheme="minorHAnsi" w:hAnsiTheme="minorHAnsi" w:cs="Arial"/>
        </w:rPr>
        <w:t xml:space="preserve">The </w:t>
      </w:r>
      <w:r w:rsidR="00BF70FC">
        <w:rPr>
          <w:rFonts w:asciiTheme="minorHAnsi" w:hAnsiTheme="minorHAnsi" w:cs="Arial"/>
        </w:rPr>
        <w:t xml:space="preserve">revision of the existing ESS framework or the </w:t>
      </w:r>
      <w:r w:rsidRPr="009F1A6F">
        <w:rPr>
          <w:rFonts w:asciiTheme="minorHAnsi" w:hAnsiTheme="minorHAnsi" w:cs="Arial"/>
        </w:rPr>
        <w:t xml:space="preserve">implementation of </w:t>
      </w:r>
      <w:r w:rsidR="00BF70FC">
        <w:rPr>
          <w:rFonts w:asciiTheme="minorHAnsi" w:hAnsiTheme="minorHAnsi" w:cs="Arial"/>
        </w:rPr>
        <w:t xml:space="preserve">a </w:t>
      </w:r>
      <w:r w:rsidRPr="009F1A6F">
        <w:rPr>
          <w:rFonts w:asciiTheme="minorHAnsi" w:hAnsiTheme="minorHAnsi" w:cs="Arial"/>
        </w:rPr>
        <w:t>new fra</w:t>
      </w:r>
      <w:r w:rsidR="00BF70FC">
        <w:rPr>
          <w:rFonts w:asciiTheme="minorHAnsi" w:hAnsiTheme="minorHAnsi" w:cs="Arial"/>
        </w:rPr>
        <w:t>mework</w:t>
      </w:r>
      <w:r w:rsidRPr="009F1A6F">
        <w:rPr>
          <w:rFonts w:asciiTheme="minorHAnsi" w:hAnsiTheme="minorHAnsi" w:cs="Arial"/>
        </w:rPr>
        <w:t xml:space="preserve"> </w:t>
      </w:r>
      <w:r w:rsidR="00BF70FC">
        <w:rPr>
          <w:rFonts w:asciiTheme="minorHAnsi" w:hAnsiTheme="minorHAnsi" w:cs="Arial"/>
        </w:rPr>
        <w:t>would</w:t>
      </w:r>
      <w:r w:rsidRPr="009F1A6F">
        <w:rPr>
          <w:rFonts w:asciiTheme="minorHAnsi" w:hAnsiTheme="minorHAnsi" w:cs="Arial"/>
        </w:rPr>
        <w:t xml:space="preserve"> require changes to regulatory instruments and, potentially, legislation.</w:t>
      </w:r>
    </w:p>
    <w:p w14:paraId="600011DC" w14:textId="77777777" w:rsidR="00CB560D" w:rsidRPr="009F1A6F" w:rsidRDefault="00CB560D" w:rsidP="00CB560D">
      <w:pPr>
        <w:rPr>
          <w:rFonts w:asciiTheme="minorHAnsi" w:hAnsiTheme="minorHAnsi" w:cs="Arial"/>
        </w:rPr>
      </w:pPr>
      <w:r w:rsidRPr="009F1A6F">
        <w:rPr>
          <w:rFonts w:asciiTheme="minorHAnsi" w:hAnsiTheme="minorHAnsi" w:cs="Arial"/>
        </w:rPr>
        <w:t>The Territory currently operates under two electricity frameworks:</w:t>
      </w:r>
    </w:p>
    <w:p w14:paraId="7DBA1D07" w14:textId="77777777" w:rsidR="00CB560D" w:rsidRPr="009F1A6F" w:rsidRDefault="00CB560D" w:rsidP="009F1A6F">
      <w:pPr>
        <w:pStyle w:val="ListParagraph"/>
        <w:numPr>
          <w:ilvl w:val="0"/>
          <w:numId w:val="12"/>
        </w:numPr>
        <w:spacing w:before="200"/>
        <w:ind w:left="426"/>
        <w:rPr>
          <w:rFonts w:cs="Arial"/>
          <w:i/>
        </w:rPr>
      </w:pPr>
      <w:r w:rsidRPr="009F1A6F">
        <w:rPr>
          <w:rFonts w:cs="Arial"/>
          <w:i/>
        </w:rPr>
        <w:t>Industry Act</w:t>
      </w:r>
    </w:p>
    <w:p w14:paraId="67F89C43" w14:textId="54E44B9E" w:rsidR="00CB560D" w:rsidRPr="009F1A6F" w:rsidRDefault="00CB560D" w:rsidP="009F1A6F">
      <w:pPr>
        <w:pStyle w:val="ListParagraph"/>
        <w:spacing w:before="200"/>
        <w:ind w:left="426"/>
        <w:rPr>
          <w:rFonts w:cs="Arial"/>
        </w:rPr>
      </w:pPr>
      <w:r w:rsidRPr="009F1A6F">
        <w:rPr>
          <w:rFonts w:cs="Arial"/>
        </w:rPr>
        <w:t xml:space="preserve">The </w:t>
      </w:r>
      <w:r w:rsidRPr="008218E4">
        <w:rPr>
          <w:rFonts w:cs="Arial"/>
          <w:i/>
        </w:rPr>
        <w:t>Electricity Reform Act 2001</w:t>
      </w:r>
      <w:r w:rsidR="00ED3F4A">
        <w:rPr>
          <w:rFonts w:cs="Arial"/>
          <w:i/>
        </w:rPr>
        <w:t xml:space="preserve"> </w:t>
      </w:r>
      <w:r w:rsidR="00ED3F4A" w:rsidRPr="0021322F">
        <w:rPr>
          <w:rFonts w:cs="Arial"/>
        </w:rPr>
        <w:t>(NT)</w:t>
      </w:r>
      <w:r w:rsidRPr="00ED3F4A">
        <w:rPr>
          <w:rFonts w:cs="Arial"/>
        </w:rPr>
        <w:t>, provides</w:t>
      </w:r>
      <w:r w:rsidRPr="009F1A6F">
        <w:rPr>
          <w:rFonts w:cs="Arial"/>
        </w:rPr>
        <w:t xml:space="preserve"> an overarching framework for regulation of the Territory’s electricity supply industry, declaring it to be a regulated industry, and setting out licencing requirements for electricity entities.</w:t>
      </w:r>
    </w:p>
    <w:p w14:paraId="478FA6F5" w14:textId="5F46C1BA" w:rsidR="00CB560D" w:rsidRPr="009F1A6F" w:rsidRDefault="00CB560D" w:rsidP="009F1A6F">
      <w:pPr>
        <w:pStyle w:val="ListParagraph"/>
        <w:spacing w:before="200"/>
        <w:ind w:left="426"/>
        <w:rPr>
          <w:rFonts w:cs="Arial"/>
        </w:rPr>
      </w:pPr>
      <w:r w:rsidRPr="009F1A6F">
        <w:rPr>
          <w:rFonts w:cs="Arial"/>
        </w:rPr>
        <w:t xml:space="preserve">The </w:t>
      </w:r>
      <w:r w:rsidRPr="008218E4">
        <w:rPr>
          <w:rFonts w:cs="Arial"/>
          <w:i/>
        </w:rPr>
        <w:t>Electricity Reform Act</w:t>
      </w:r>
      <w:r w:rsidRPr="009F1A6F">
        <w:rPr>
          <w:rFonts w:cs="Arial"/>
        </w:rPr>
        <w:t xml:space="preserve"> and Regulations provide the head of power for the Power and Water Corporation, as the licenced </w:t>
      </w:r>
      <w:r w:rsidR="00F45B94">
        <w:rPr>
          <w:rFonts w:cs="Arial"/>
        </w:rPr>
        <w:t>S</w:t>
      </w:r>
      <w:r w:rsidRPr="009F1A6F">
        <w:rPr>
          <w:rFonts w:cs="Arial"/>
        </w:rPr>
        <w:t xml:space="preserve">ystem </w:t>
      </w:r>
      <w:r w:rsidR="00F45B94">
        <w:rPr>
          <w:rFonts w:cs="Arial"/>
        </w:rPr>
        <w:t>C</w:t>
      </w:r>
      <w:r w:rsidRPr="009F1A6F">
        <w:rPr>
          <w:rFonts w:cs="Arial"/>
        </w:rPr>
        <w:t xml:space="preserve">ontroller and </w:t>
      </w:r>
      <w:r w:rsidR="00F45B94">
        <w:rPr>
          <w:rFonts w:cs="Arial"/>
        </w:rPr>
        <w:t>N</w:t>
      </w:r>
      <w:r w:rsidRPr="009F1A6F">
        <w:rPr>
          <w:rFonts w:cs="Arial"/>
        </w:rPr>
        <w:t xml:space="preserve">etwork </w:t>
      </w:r>
      <w:r w:rsidR="00F45B94">
        <w:rPr>
          <w:rFonts w:cs="Arial"/>
        </w:rPr>
        <w:t>O</w:t>
      </w:r>
      <w:r w:rsidRPr="009F1A6F">
        <w:rPr>
          <w:rFonts w:cs="Arial"/>
        </w:rPr>
        <w:t>perator for the Darwin</w:t>
      </w:r>
      <w:r w:rsidR="00F45B94">
        <w:rPr>
          <w:rFonts w:cs="Arial"/>
        </w:rPr>
        <w:noBreakHyphen/>
      </w:r>
      <w:r w:rsidRPr="009F1A6F">
        <w:rPr>
          <w:rFonts w:cs="Arial"/>
        </w:rPr>
        <w:t>Katherine, Alice Springs and Tennant Creek power systems, to manage the system</w:t>
      </w:r>
      <w:r w:rsidR="00F45B94">
        <w:rPr>
          <w:rFonts w:cs="Arial"/>
        </w:rPr>
        <w:t>s</w:t>
      </w:r>
      <w:r w:rsidRPr="009F1A6F">
        <w:rPr>
          <w:rFonts w:cs="Arial"/>
        </w:rPr>
        <w:t xml:space="preserve"> in accordance with the SCTC and </w:t>
      </w:r>
      <w:r w:rsidR="00F45B94">
        <w:rPr>
          <w:rFonts w:cs="Arial"/>
        </w:rPr>
        <w:t>NTC</w:t>
      </w:r>
      <w:r w:rsidRPr="009F1A6F">
        <w:rPr>
          <w:rFonts w:cs="Arial"/>
        </w:rPr>
        <w:t xml:space="preserve"> approved by the Utilities Commission.</w:t>
      </w:r>
    </w:p>
    <w:p w14:paraId="6D04DF11" w14:textId="77777777" w:rsidR="00CB560D" w:rsidRPr="009F1A6F" w:rsidRDefault="00CB560D" w:rsidP="009F1A6F">
      <w:pPr>
        <w:pStyle w:val="ListParagraph"/>
        <w:numPr>
          <w:ilvl w:val="0"/>
          <w:numId w:val="12"/>
        </w:numPr>
        <w:spacing w:before="200"/>
        <w:ind w:left="426"/>
        <w:rPr>
          <w:rFonts w:cs="Arial"/>
          <w:i/>
        </w:rPr>
      </w:pPr>
      <w:r w:rsidRPr="009F1A6F">
        <w:rPr>
          <w:rFonts w:cs="Arial"/>
          <w:i/>
        </w:rPr>
        <w:t>Northern Territory National Electricity Rules</w:t>
      </w:r>
    </w:p>
    <w:p w14:paraId="6EEE75C0" w14:textId="515F771C" w:rsidR="00CB560D" w:rsidRPr="009F1A6F" w:rsidRDefault="00CB560D" w:rsidP="009F1A6F">
      <w:pPr>
        <w:pStyle w:val="ListParagraph"/>
        <w:spacing w:before="200"/>
        <w:ind w:left="426"/>
        <w:rPr>
          <w:rFonts w:cs="Arial"/>
        </w:rPr>
      </w:pPr>
      <w:r w:rsidRPr="009F1A6F">
        <w:rPr>
          <w:rFonts w:cs="Arial"/>
        </w:rPr>
        <w:t xml:space="preserve">The </w:t>
      </w:r>
      <w:r w:rsidRPr="008218E4">
        <w:rPr>
          <w:rFonts w:cs="Arial"/>
          <w:i/>
        </w:rPr>
        <w:t>National Electricity (Northern Territory) (National Uniform Legislation) Act 2015</w:t>
      </w:r>
      <w:r w:rsidR="00ED3F4A">
        <w:rPr>
          <w:rFonts w:cs="Arial"/>
          <w:i/>
        </w:rPr>
        <w:t xml:space="preserve"> </w:t>
      </w:r>
      <w:r w:rsidR="00ED3F4A" w:rsidRPr="0021322F">
        <w:rPr>
          <w:rFonts w:cs="Arial"/>
        </w:rPr>
        <w:t>(NT)</w:t>
      </w:r>
      <w:r w:rsidRPr="00ED3F4A">
        <w:rPr>
          <w:rFonts w:cs="Arial"/>
        </w:rPr>
        <w:t xml:space="preserve"> provides</w:t>
      </w:r>
      <w:r w:rsidRPr="009F1A6F">
        <w:rPr>
          <w:rFonts w:cs="Arial"/>
        </w:rPr>
        <w:t xml:space="preserve"> for the adoption of the National Electricity Law and the National Electricity Rules (NER) in the Territory from 1 July 2016.</w:t>
      </w:r>
    </w:p>
    <w:p w14:paraId="4D283A37" w14:textId="77777777" w:rsidR="00CB560D" w:rsidRPr="009F1A6F" w:rsidRDefault="00CB560D" w:rsidP="009F1A6F">
      <w:pPr>
        <w:pStyle w:val="ListParagraph"/>
        <w:spacing w:before="200"/>
        <w:ind w:left="426"/>
        <w:rPr>
          <w:rFonts w:cs="Arial"/>
        </w:rPr>
      </w:pPr>
      <w:r w:rsidRPr="009F1A6F">
        <w:rPr>
          <w:rFonts w:cs="Arial"/>
        </w:rPr>
        <w:t>The Northern Territory NER, a version of the NER modified by regulations to suit the Territory's circumstances, govern the arrangements for metering, economic regulation and network connection in the regulated electricity systems.</w:t>
      </w:r>
    </w:p>
    <w:p w14:paraId="1B4E2660" w14:textId="77777777" w:rsidR="00CB560D" w:rsidRPr="009F1A6F" w:rsidRDefault="00CB560D" w:rsidP="009F1A6F">
      <w:pPr>
        <w:pStyle w:val="ListParagraph"/>
        <w:spacing w:before="200"/>
        <w:ind w:left="426"/>
        <w:rPr>
          <w:rFonts w:cs="Arial"/>
        </w:rPr>
      </w:pPr>
      <w:r w:rsidRPr="009F1A6F">
        <w:rPr>
          <w:rFonts w:cs="Arial"/>
        </w:rPr>
        <w:t>The Territory has not applied a number of components of the NER, including those governing the operation of wholesale markets and power system security, which continue to be governed by the SCTC and NTC.</w:t>
      </w:r>
    </w:p>
    <w:p w14:paraId="2022F4EA" w14:textId="117628A5" w:rsidR="00CB560D" w:rsidRPr="009F1A6F" w:rsidRDefault="00CB560D" w:rsidP="00CB560D">
      <w:pPr>
        <w:rPr>
          <w:rFonts w:asciiTheme="minorHAnsi" w:hAnsiTheme="minorHAnsi" w:cs="Arial"/>
        </w:rPr>
      </w:pPr>
      <w:r w:rsidRPr="009F1A6F">
        <w:rPr>
          <w:rFonts w:asciiTheme="minorHAnsi" w:hAnsiTheme="minorHAnsi" w:cs="Arial"/>
        </w:rPr>
        <w:t>It may be feasible to implement a revised</w:t>
      </w:r>
      <w:r w:rsidR="00DB3058">
        <w:rPr>
          <w:rFonts w:asciiTheme="minorHAnsi" w:hAnsiTheme="minorHAnsi" w:cs="Arial"/>
        </w:rPr>
        <w:t xml:space="preserve"> or new</w:t>
      </w:r>
      <w:r w:rsidRPr="009F1A6F">
        <w:rPr>
          <w:rFonts w:asciiTheme="minorHAnsi" w:hAnsiTheme="minorHAnsi" w:cs="Arial"/>
        </w:rPr>
        <w:t xml:space="preserve"> ESS framework either through amendment to the technical codes under the </w:t>
      </w:r>
      <w:r w:rsidRPr="008218E4">
        <w:rPr>
          <w:rFonts w:asciiTheme="minorHAnsi" w:hAnsiTheme="minorHAnsi" w:cs="Arial"/>
          <w:i/>
        </w:rPr>
        <w:t xml:space="preserve">Electricity Reform Act </w:t>
      </w:r>
      <w:r w:rsidRPr="009F1A6F">
        <w:rPr>
          <w:rFonts w:asciiTheme="minorHAnsi" w:hAnsiTheme="minorHAnsi" w:cs="Arial"/>
        </w:rPr>
        <w:t>(SCTC, NTC) or through a Territory specific chapter of the N</w:t>
      </w:r>
      <w:r w:rsidR="00F45B94">
        <w:rPr>
          <w:rFonts w:asciiTheme="minorHAnsi" w:hAnsiTheme="minorHAnsi" w:cs="Arial"/>
        </w:rPr>
        <w:t>orthern Territory</w:t>
      </w:r>
      <w:r w:rsidRPr="009F1A6F">
        <w:rPr>
          <w:rFonts w:asciiTheme="minorHAnsi" w:hAnsiTheme="minorHAnsi" w:cs="Arial"/>
        </w:rPr>
        <w:t xml:space="preserve"> NER.</w:t>
      </w:r>
    </w:p>
    <w:p w14:paraId="781A65C8" w14:textId="7D01EC92" w:rsidR="00CB560D" w:rsidRPr="009F1A6F" w:rsidRDefault="00CB560D" w:rsidP="00CB560D">
      <w:pPr>
        <w:rPr>
          <w:rFonts w:asciiTheme="minorHAnsi" w:hAnsiTheme="minorHAnsi" w:cs="Arial"/>
        </w:rPr>
      </w:pPr>
      <w:r w:rsidRPr="009F1A6F">
        <w:rPr>
          <w:rFonts w:asciiTheme="minorHAnsi" w:hAnsiTheme="minorHAnsi" w:cs="Arial"/>
        </w:rPr>
        <w:t xml:space="preserve">Modification of the technical codes would be likely to offer the quickest implementation pathway for any new ESS framework. However, a continuing role for </w:t>
      </w:r>
      <w:r w:rsidR="00F45B94">
        <w:rPr>
          <w:rFonts w:asciiTheme="minorHAnsi" w:hAnsiTheme="minorHAnsi" w:cs="Arial"/>
        </w:rPr>
        <w:t>the Power and Water Corporation</w:t>
      </w:r>
      <w:r w:rsidRPr="009F1A6F">
        <w:rPr>
          <w:rFonts w:asciiTheme="minorHAnsi" w:hAnsiTheme="minorHAnsi" w:cs="Arial"/>
        </w:rPr>
        <w:t xml:space="preserve"> in the administration of the regulatory framework for ESS may not reflect best practice.</w:t>
      </w:r>
    </w:p>
    <w:p w14:paraId="27BFB360" w14:textId="77777777" w:rsidR="00CB560D" w:rsidRPr="009F1A6F" w:rsidRDefault="00CB560D" w:rsidP="00CB560D">
      <w:pPr>
        <w:rPr>
          <w:rFonts w:asciiTheme="minorHAnsi" w:hAnsiTheme="minorHAnsi" w:cs="Arial"/>
        </w:rPr>
      </w:pPr>
      <w:r w:rsidRPr="009F1A6F">
        <w:rPr>
          <w:rFonts w:asciiTheme="minorHAnsi" w:hAnsiTheme="minorHAnsi" w:cs="Arial"/>
        </w:rPr>
        <w:t>In the longer term, appropriate independent governance arrangements for the Territory’s ESS framework, in addition to network technical characteristics, system control and market operation, are required.</w:t>
      </w:r>
    </w:p>
    <w:p w14:paraId="00513E53" w14:textId="4DDDAACE" w:rsidR="00CB560D" w:rsidRPr="009F1A6F" w:rsidRDefault="00CB560D" w:rsidP="00CB560D">
      <w:pPr>
        <w:rPr>
          <w:rFonts w:asciiTheme="minorHAnsi" w:hAnsiTheme="minorHAnsi" w:cs="Arial"/>
        </w:rPr>
      </w:pPr>
      <w:r w:rsidRPr="009F1A6F">
        <w:rPr>
          <w:rFonts w:asciiTheme="minorHAnsi" w:hAnsiTheme="minorHAnsi" w:cs="Arial"/>
        </w:rPr>
        <w:t>Further incorporation of the Territory’s network, system control and market operation technical codes into the N</w:t>
      </w:r>
      <w:r w:rsidR="00F45B94">
        <w:rPr>
          <w:rFonts w:asciiTheme="minorHAnsi" w:hAnsiTheme="minorHAnsi" w:cs="Arial"/>
        </w:rPr>
        <w:t>orthern Territory</w:t>
      </w:r>
      <w:r w:rsidRPr="009F1A6F">
        <w:rPr>
          <w:rFonts w:asciiTheme="minorHAnsi" w:hAnsiTheme="minorHAnsi" w:cs="Arial"/>
        </w:rPr>
        <w:t xml:space="preserve"> NER and changes to legislative and institutional arrangements to expand the scope of independent rule making, could improve the Territory’s electricity governance framework. However, consideration of governance arrangements beyond those applicable to the ESS framework are outside the scope of this review.</w:t>
      </w:r>
    </w:p>
    <w:tbl>
      <w:tblPr>
        <w:tblStyle w:val="TableGrid"/>
        <w:tblW w:w="0" w:type="auto"/>
        <w:tblLook w:val="04A0" w:firstRow="1" w:lastRow="0" w:firstColumn="1" w:lastColumn="0" w:noHBand="0" w:noVBand="1"/>
      </w:tblPr>
      <w:tblGrid>
        <w:gridCol w:w="10308"/>
      </w:tblGrid>
      <w:tr w:rsidR="00CB560D" w14:paraId="34368CB4" w14:textId="77777777" w:rsidTr="008218E4">
        <w:tc>
          <w:tcPr>
            <w:tcW w:w="0" w:type="auto"/>
          </w:tcPr>
          <w:p w14:paraId="47D09E77" w14:textId="4BEE6DC9" w:rsidR="00CB560D" w:rsidRPr="00042009" w:rsidRDefault="00CB560D" w:rsidP="00CE7680">
            <w:pPr>
              <w:keepNext/>
              <w:spacing w:before="120" w:after="120"/>
              <w:rPr>
                <w:rFonts w:ascii="Arial" w:hAnsi="Arial" w:cs="Arial"/>
                <w:b/>
              </w:rPr>
            </w:pPr>
            <w:r w:rsidRPr="00042009">
              <w:rPr>
                <w:rFonts w:ascii="Arial" w:hAnsi="Arial" w:cs="Arial"/>
                <w:b/>
              </w:rPr>
              <w:lastRenderedPageBreak/>
              <w:t xml:space="preserve">Question </w:t>
            </w:r>
            <w:r w:rsidR="00BF70FC">
              <w:rPr>
                <w:rFonts w:ascii="Arial" w:hAnsi="Arial" w:cs="Arial"/>
                <w:b/>
              </w:rPr>
              <w:t>7</w:t>
            </w:r>
          </w:p>
          <w:p w14:paraId="295C0A6F" w14:textId="77777777" w:rsidR="00CB560D" w:rsidRPr="00CE7680" w:rsidRDefault="00CB560D" w:rsidP="00CE7680">
            <w:pPr>
              <w:pStyle w:val="ListParagraph"/>
              <w:numPr>
                <w:ilvl w:val="0"/>
                <w:numId w:val="21"/>
              </w:numPr>
              <w:spacing w:before="120"/>
              <w:rPr>
                <w:rFonts w:asciiTheme="minorHAnsi" w:eastAsia="Calibri" w:hAnsiTheme="minorHAnsi" w:cs="Arial"/>
                <w:iCs w:val="0"/>
              </w:rPr>
            </w:pPr>
            <w:r w:rsidRPr="00CE7680">
              <w:rPr>
                <w:rFonts w:asciiTheme="minorHAnsi" w:eastAsia="Calibri" w:hAnsiTheme="minorHAnsi" w:cs="Arial"/>
                <w:iCs w:val="0"/>
              </w:rPr>
              <w:t>What are the issues which need to be considered in determining which legislative and regulatory framework would best accommodate changes to the Territory’s ESS framework?</w:t>
            </w:r>
          </w:p>
          <w:p w14:paraId="4B0905F6" w14:textId="77777777" w:rsidR="00CB560D" w:rsidRDefault="00CB560D" w:rsidP="00CE7680">
            <w:pPr>
              <w:pStyle w:val="ListParagraph"/>
              <w:numPr>
                <w:ilvl w:val="0"/>
                <w:numId w:val="21"/>
              </w:numPr>
              <w:spacing w:before="120"/>
              <w:rPr>
                <w:rFonts w:ascii="Arial" w:hAnsi="Arial" w:cs="Arial"/>
              </w:rPr>
            </w:pPr>
            <w:r w:rsidRPr="00CE7680">
              <w:rPr>
                <w:rFonts w:asciiTheme="minorHAnsi" w:eastAsia="Calibri" w:hAnsiTheme="minorHAnsi" w:cs="Arial"/>
                <w:iCs w:val="0"/>
              </w:rPr>
              <w:t>What improvements can be made to the governance of the ESS framework?</w:t>
            </w:r>
          </w:p>
        </w:tc>
      </w:tr>
    </w:tbl>
    <w:p w14:paraId="2BC0A32B" w14:textId="77777777" w:rsidR="00CB560D" w:rsidRDefault="00CB560D" w:rsidP="00CB560D">
      <w:pPr>
        <w:rPr>
          <w:rFonts w:ascii="Arial" w:hAnsi="Arial" w:cs="Arial"/>
        </w:rPr>
      </w:pPr>
    </w:p>
    <w:p w14:paraId="184070EE" w14:textId="77777777" w:rsidR="00C0589C" w:rsidRDefault="00C0589C">
      <w:pPr>
        <w:rPr>
          <w:rFonts w:ascii="Arial" w:hAnsi="Arial" w:cs="Arial"/>
        </w:rPr>
      </w:pPr>
      <w:r>
        <w:rPr>
          <w:rFonts w:ascii="Arial" w:hAnsi="Arial" w:cs="Arial"/>
        </w:rPr>
        <w:br w:type="page"/>
      </w:r>
    </w:p>
    <w:p w14:paraId="7B3918CC" w14:textId="77777777" w:rsidR="00CB560D" w:rsidRPr="0021322F" w:rsidRDefault="00BF70FC" w:rsidP="008218E4">
      <w:pPr>
        <w:pStyle w:val="Heading1"/>
        <w:rPr>
          <w:lang w:eastAsia="en-AU"/>
        </w:rPr>
      </w:pPr>
      <w:bookmarkStart w:id="35" w:name="_Toc42779175"/>
      <w:r w:rsidRPr="0021322F">
        <w:rPr>
          <w:lang w:eastAsia="en-AU"/>
        </w:rPr>
        <w:lastRenderedPageBreak/>
        <w:t>Making a submission</w:t>
      </w:r>
      <w:bookmarkEnd w:id="35"/>
    </w:p>
    <w:p w14:paraId="58794F1B" w14:textId="3F8FD1D9" w:rsidR="008C0716" w:rsidRDefault="00C0589C" w:rsidP="00C0589C">
      <w:pPr>
        <w:rPr>
          <w:rFonts w:asciiTheme="minorHAnsi" w:hAnsiTheme="minorHAnsi" w:cs="Arial"/>
        </w:rPr>
      </w:pPr>
      <w:r w:rsidRPr="002F64A1">
        <w:rPr>
          <w:rFonts w:asciiTheme="minorHAnsi" w:hAnsiTheme="minorHAnsi" w:cs="Arial"/>
        </w:rPr>
        <w:t>Interested parties are invited to email submissions</w:t>
      </w:r>
      <w:r w:rsidR="008C0716">
        <w:rPr>
          <w:rFonts w:asciiTheme="minorHAnsi" w:hAnsiTheme="minorHAnsi" w:cs="Arial"/>
        </w:rPr>
        <w:t xml:space="preserve"> on this Issues Paper</w:t>
      </w:r>
      <w:r w:rsidRPr="002F64A1">
        <w:rPr>
          <w:rFonts w:asciiTheme="minorHAnsi" w:hAnsiTheme="minorHAnsi" w:cs="Arial"/>
        </w:rPr>
        <w:t xml:space="preserve"> to the </w:t>
      </w:r>
      <w:r w:rsidR="001535CC">
        <w:rPr>
          <w:rFonts w:asciiTheme="minorHAnsi" w:hAnsiTheme="minorHAnsi" w:cs="Arial"/>
        </w:rPr>
        <w:t xml:space="preserve">Design Development Team </w:t>
      </w:r>
      <w:r w:rsidRPr="00136A02">
        <w:rPr>
          <w:rFonts w:asciiTheme="minorHAnsi" w:hAnsiTheme="minorHAnsi" w:cs="Arial"/>
        </w:rPr>
        <w:t xml:space="preserve">at </w:t>
      </w:r>
      <w:r w:rsidR="001E2586">
        <w:rPr>
          <w:rFonts w:asciiTheme="minorHAnsi" w:hAnsiTheme="minorHAnsi" w:cs="Arial"/>
        </w:rPr>
        <w:t>electricityr</w:t>
      </w:r>
      <w:r w:rsidR="00C5488A">
        <w:rPr>
          <w:rFonts w:asciiTheme="minorHAnsi" w:hAnsiTheme="minorHAnsi" w:cs="Arial"/>
        </w:rPr>
        <w:t>eform@nt.gov.au</w:t>
      </w:r>
      <w:r w:rsidR="001535CC" w:rsidRPr="00136A02">
        <w:rPr>
          <w:rFonts w:asciiTheme="minorHAnsi" w:hAnsiTheme="minorHAnsi" w:cs="Arial"/>
        </w:rPr>
        <w:t xml:space="preserve"> </w:t>
      </w:r>
      <w:r w:rsidR="001535CC" w:rsidRPr="005A6416">
        <w:rPr>
          <w:rFonts w:asciiTheme="minorHAnsi" w:hAnsiTheme="minorHAnsi" w:cs="Arial"/>
        </w:rPr>
        <w:t xml:space="preserve">by </w:t>
      </w:r>
      <w:r w:rsidR="00136A02" w:rsidRPr="005A6416">
        <w:rPr>
          <w:rFonts w:asciiTheme="minorHAnsi" w:hAnsiTheme="minorHAnsi" w:cs="Arial"/>
        </w:rPr>
        <w:t>13</w:t>
      </w:r>
      <w:r w:rsidR="001535CC" w:rsidRPr="005A6416">
        <w:rPr>
          <w:rFonts w:asciiTheme="minorHAnsi" w:hAnsiTheme="minorHAnsi" w:cs="Arial"/>
        </w:rPr>
        <w:t xml:space="preserve"> July 2020.</w:t>
      </w:r>
    </w:p>
    <w:p w14:paraId="40DCA888" w14:textId="77777777" w:rsidR="008C0716" w:rsidRPr="008C0716" w:rsidRDefault="008C0716" w:rsidP="008C0716">
      <w:pPr>
        <w:rPr>
          <w:rFonts w:asciiTheme="minorHAnsi" w:hAnsiTheme="minorHAnsi" w:cs="Arial"/>
        </w:rPr>
      </w:pPr>
      <w:r w:rsidRPr="008C0716">
        <w:rPr>
          <w:rFonts w:asciiTheme="minorHAnsi" w:hAnsiTheme="minorHAnsi" w:cs="Arial"/>
        </w:rPr>
        <w:t xml:space="preserve">Submissions should be provided in Adobe Acrobat or Microsoft Word format. On receipt of a submission a confirmation of receipt will be provided, however, it is the submitter’s responsibility to ensure successful delivery of their submission. </w:t>
      </w:r>
    </w:p>
    <w:p w14:paraId="6C3A4E8F" w14:textId="3CCD8023" w:rsidR="008C0716" w:rsidRPr="008C0716" w:rsidRDefault="008C0716" w:rsidP="008C0716">
      <w:pPr>
        <w:rPr>
          <w:rFonts w:asciiTheme="minorHAnsi" w:hAnsiTheme="minorHAnsi" w:cs="Arial"/>
        </w:rPr>
      </w:pPr>
      <w:r w:rsidRPr="008C0716">
        <w:rPr>
          <w:rFonts w:asciiTheme="minorHAnsi" w:hAnsiTheme="minorHAnsi" w:cs="Arial"/>
        </w:rPr>
        <w:t xml:space="preserve">Any questions regarding the </w:t>
      </w:r>
      <w:r w:rsidR="001E2586">
        <w:rPr>
          <w:rFonts w:asciiTheme="minorHAnsi" w:hAnsiTheme="minorHAnsi" w:cs="Arial"/>
        </w:rPr>
        <w:t>consultation</w:t>
      </w:r>
      <w:r w:rsidRPr="008C0716">
        <w:rPr>
          <w:rFonts w:asciiTheme="minorHAnsi" w:hAnsiTheme="minorHAnsi" w:cs="Arial"/>
        </w:rPr>
        <w:t xml:space="preserve"> should be directed to </w:t>
      </w:r>
      <w:r>
        <w:rPr>
          <w:rFonts w:asciiTheme="minorHAnsi" w:hAnsiTheme="minorHAnsi" w:cs="Arial"/>
        </w:rPr>
        <w:t>Matthew Sargeant, Director Office of Sustainable Energy on (08) 8999 5305 or</w:t>
      </w:r>
      <w:r w:rsidRPr="008C0716">
        <w:rPr>
          <w:rFonts w:asciiTheme="minorHAnsi" w:hAnsiTheme="minorHAnsi" w:cs="Arial"/>
        </w:rPr>
        <w:t xml:space="preserve"> </w:t>
      </w:r>
      <w:r w:rsidR="001E2586">
        <w:rPr>
          <w:rFonts w:asciiTheme="minorHAnsi" w:hAnsiTheme="minorHAnsi" w:cs="Arial"/>
        </w:rPr>
        <w:t>electricityr</w:t>
      </w:r>
      <w:r w:rsidR="00C5488A">
        <w:rPr>
          <w:rFonts w:asciiTheme="minorHAnsi" w:hAnsiTheme="minorHAnsi" w:cs="Arial"/>
        </w:rPr>
        <w:t>eform@nt.gov.au</w:t>
      </w:r>
      <w:r>
        <w:rPr>
          <w:rFonts w:asciiTheme="minorHAnsi" w:hAnsiTheme="minorHAnsi" w:cs="Arial"/>
        </w:rPr>
        <w:t>.</w:t>
      </w:r>
      <w:r w:rsidRPr="008C0716">
        <w:rPr>
          <w:rFonts w:asciiTheme="minorHAnsi" w:hAnsiTheme="minorHAnsi" w:cs="Arial"/>
        </w:rPr>
        <w:t xml:space="preserve"> </w:t>
      </w:r>
    </w:p>
    <w:p w14:paraId="13E4A609" w14:textId="77777777" w:rsidR="008C0716" w:rsidRPr="008C0716" w:rsidRDefault="008C0716" w:rsidP="008C0716">
      <w:pPr>
        <w:rPr>
          <w:rFonts w:asciiTheme="minorHAnsi" w:hAnsiTheme="minorHAnsi" w:cs="Arial"/>
        </w:rPr>
      </w:pPr>
      <w:r>
        <w:rPr>
          <w:rFonts w:asciiTheme="minorHAnsi" w:hAnsiTheme="minorHAnsi" w:cs="Arial"/>
        </w:rPr>
        <w:t xml:space="preserve">The Design Development Team </w:t>
      </w:r>
      <w:r w:rsidR="00B962C1">
        <w:rPr>
          <w:rFonts w:asciiTheme="minorHAnsi" w:hAnsiTheme="minorHAnsi" w:cs="Arial"/>
        </w:rPr>
        <w:t xml:space="preserve">will publish submissions </w:t>
      </w:r>
      <w:r w:rsidRPr="008C0716">
        <w:rPr>
          <w:rFonts w:asciiTheme="minorHAnsi" w:hAnsiTheme="minorHAnsi" w:cs="Arial"/>
        </w:rPr>
        <w:t>on its website, with the exclusion of confidential information. Submissions must clearly identify any confidential information and a version suitable for publication with the confidential information</w:t>
      </w:r>
      <w:r>
        <w:rPr>
          <w:rFonts w:asciiTheme="minorHAnsi" w:hAnsiTheme="minorHAnsi" w:cs="Arial"/>
        </w:rPr>
        <w:t xml:space="preserve"> removed should be provided.</w:t>
      </w:r>
    </w:p>
    <w:p w14:paraId="45C251E7" w14:textId="77777777" w:rsidR="001535CC" w:rsidRPr="002F64A1" w:rsidRDefault="008C0716" w:rsidP="00C0589C">
      <w:pPr>
        <w:rPr>
          <w:rFonts w:asciiTheme="minorHAnsi" w:hAnsiTheme="minorHAnsi" w:cs="Arial"/>
        </w:rPr>
      </w:pPr>
      <w:r>
        <w:rPr>
          <w:rFonts w:asciiTheme="minorHAnsi" w:hAnsiTheme="minorHAnsi" w:cs="Arial"/>
        </w:rPr>
        <w:t>The Design Development Team</w:t>
      </w:r>
      <w:r w:rsidRPr="008C0716">
        <w:rPr>
          <w:rFonts w:asciiTheme="minorHAnsi" w:hAnsiTheme="minorHAnsi" w:cs="Arial"/>
        </w:rPr>
        <w:t xml:space="preserve"> may also exercise its discretion not to publish any submission based on content, such as submissions containing material that is offensive or defamatory.</w:t>
      </w:r>
    </w:p>
    <w:p w14:paraId="4ACCF252" w14:textId="77777777" w:rsidR="00CB560D" w:rsidRDefault="00CB560D" w:rsidP="00CB560D">
      <w:pPr>
        <w:spacing w:before="200"/>
        <w:rPr>
          <w:rFonts w:asciiTheme="minorHAnsi" w:hAnsiTheme="minorHAnsi" w:cs="Arial"/>
        </w:rPr>
      </w:pPr>
    </w:p>
    <w:sectPr w:rsidR="00CB560D" w:rsidSect="00C95D30">
      <w:footerReference w:type="default" r:id="rId20"/>
      <w:headerReference w:type="first" r:id="rId21"/>
      <w:pgSz w:w="11906" w:h="16838"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464ED" w14:textId="77777777" w:rsidR="005B6973" w:rsidRDefault="005B6973">
      <w:r>
        <w:separator/>
      </w:r>
    </w:p>
  </w:endnote>
  <w:endnote w:type="continuationSeparator" w:id="0">
    <w:p w14:paraId="1BE113FB" w14:textId="77777777" w:rsidR="005B6973" w:rsidRDefault="005B6973">
      <w:r>
        <w:continuationSeparator/>
      </w:r>
    </w:p>
  </w:endnote>
  <w:endnote w:type="continuationNotice" w:id="1">
    <w:p w14:paraId="32454676" w14:textId="77777777" w:rsidR="005B6973" w:rsidRDefault="005B69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325129"/>
      <w:docPartObj>
        <w:docPartGallery w:val="Page Numbers (Bottom of Page)"/>
        <w:docPartUnique/>
      </w:docPartObj>
    </w:sdtPr>
    <w:sdtEndPr/>
    <w:sdtContent>
      <w:sdt>
        <w:sdtPr>
          <w:id w:val="34003993"/>
          <w:docPartObj>
            <w:docPartGallery w:val="Page Numbers (Top of Page)"/>
            <w:docPartUnique/>
          </w:docPartObj>
        </w:sdtPr>
        <w:sdtEndPr/>
        <w:sdtContent>
          <w:p w14:paraId="622C33BD" w14:textId="78B94130" w:rsidR="00223DB3" w:rsidRDefault="00223DB3" w:rsidP="004E7885">
            <w:r w:rsidRPr="004E7885">
              <w:rPr>
                <w:rStyle w:val="PageNumber"/>
              </w:rPr>
              <w:t xml:space="preserve">Page </w:t>
            </w:r>
            <w:r w:rsidRPr="004E7885">
              <w:rPr>
                <w:rStyle w:val="PageNumber"/>
              </w:rPr>
              <w:fldChar w:fldCharType="begin"/>
            </w:r>
            <w:r w:rsidRPr="004E7885">
              <w:rPr>
                <w:rStyle w:val="PageNumber"/>
              </w:rPr>
              <w:instrText xml:space="preserve"> PAGE </w:instrText>
            </w:r>
            <w:r w:rsidRPr="004E7885">
              <w:rPr>
                <w:rStyle w:val="PageNumber"/>
              </w:rPr>
              <w:fldChar w:fldCharType="separate"/>
            </w:r>
            <w:r>
              <w:rPr>
                <w:rStyle w:val="PageNumber"/>
                <w:noProof/>
              </w:rPr>
              <w:t>3</w:t>
            </w:r>
            <w:r w:rsidRPr="004E7885">
              <w:rPr>
                <w:rStyle w:val="PageNumber"/>
              </w:rPr>
              <w:fldChar w:fldCharType="end"/>
            </w:r>
            <w:r w:rsidRPr="004E7885">
              <w:rPr>
                <w:rStyle w:val="PageNumber"/>
              </w:rPr>
              <w:t xml:space="preserve"> of </w:t>
            </w:r>
            <w:r w:rsidRPr="004E7885">
              <w:rPr>
                <w:rStyle w:val="PageNumber"/>
              </w:rPr>
              <w:fldChar w:fldCharType="begin"/>
            </w:r>
            <w:r w:rsidRPr="004E7885">
              <w:rPr>
                <w:rStyle w:val="PageNumber"/>
              </w:rPr>
              <w:instrText xml:space="preserve"> NUMPAGES  </w:instrText>
            </w:r>
            <w:r w:rsidRPr="004E7885">
              <w:rPr>
                <w:rStyle w:val="PageNumber"/>
              </w:rPr>
              <w:fldChar w:fldCharType="separate"/>
            </w:r>
            <w:r w:rsidR="003310FE">
              <w:rPr>
                <w:rStyle w:val="PageNumber"/>
                <w:noProof/>
              </w:rPr>
              <w:t>28</w:t>
            </w:r>
            <w:r w:rsidRPr="004E7885">
              <w:rPr>
                <w:rStyle w:val="PageNumber"/>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F2C2A" w14:textId="77777777" w:rsidR="00223DB3" w:rsidRPr="00F538BD" w:rsidRDefault="00223DB3" w:rsidP="004E7885">
    <w:pPr>
      <w:spacing w:after="0"/>
      <w:jc w:val="right"/>
      <w:rPr>
        <w:sz w:val="6"/>
        <w:szCs w:val="6"/>
      </w:rPr>
    </w:pPr>
    <w:r w:rsidRPr="001852AF">
      <w:rPr>
        <w:noProof/>
        <w:lang w:eastAsia="en-AU"/>
      </w:rPr>
      <w:drawing>
        <wp:inline distT="0" distB="0" distL="0" distR="0" wp14:anchorId="4FFD0B5B" wp14:editId="39A97648">
          <wp:extent cx="1572479" cy="561600"/>
          <wp:effectExtent l="0" t="0" r="8890" b="0"/>
          <wp:docPr id="7" name="Picture 7"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67C73" w14:textId="77777777" w:rsidR="002D6965" w:rsidRPr="00A50829" w:rsidRDefault="002D6965" w:rsidP="002D6965">
    <w:pPr>
      <w:pStyle w:val="Hidden"/>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D6965" w:rsidRPr="00132658" w14:paraId="10798B0E" w14:textId="77777777" w:rsidTr="00D04C8F">
      <w:trPr>
        <w:cantSplit/>
        <w:trHeight w:hRule="exact" w:val="850"/>
        <w:tblHeader/>
      </w:trPr>
      <w:tc>
        <w:tcPr>
          <w:tcW w:w="10318" w:type="dxa"/>
          <w:vAlign w:val="bottom"/>
        </w:tcPr>
        <w:p w14:paraId="3CD13985" w14:textId="77777777" w:rsidR="002D6965" w:rsidRPr="00CE6614" w:rsidRDefault="002D6965" w:rsidP="002D6965">
          <w:pPr>
            <w:spacing w:after="0"/>
            <w:rPr>
              <w:rStyle w:val="PageNumber"/>
            </w:rPr>
          </w:pPr>
          <w:sdt>
            <w:sdtPr>
              <w:rPr>
                <w:rStyle w:val="PageNumber"/>
              </w:rPr>
              <w:alias w:val="Date"/>
              <w:tag w:val=""/>
              <w:id w:val="1201288877"/>
              <w:placeholder>
                <w:docPart w:val="BFE8CA17EB5A4F7280D087D290555157"/>
              </w:placeholder>
              <w:dataBinding w:prefixMappings="xmlns:ns0='http://schemas.microsoft.com/office/2006/coverPageProps' " w:xpath="/ns0:CoverPageProperties[1]/ns0:PublishDate[1]" w:storeItemID="{55AF091B-3C7A-41E3-B477-F2FDAA23CFDA}"/>
              <w15:color w:val="000000"/>
              <w:date w:fullDate="2020-06-12T00:00:00Z">
                <w:dateFormat w:val="d MMMM yyyy"/>
                <w:lid w:val="en-AU"/>
                <w:storeMappedDataAs w:val="dateTime"/>
                <w:calendar w:val="gregorian"/>
              </w:date>
            </w:sdtPr>
            <w:sdtContent>
              <w:r>
                <w:rPr>
                  <w:rStyle w:val="PageNumber"/>
                </w:rPr>
                <w:t>12 June 2020</w:t>
              </w:r>
            </w:sdtContent>
          </w:sdt>
        </w:p>
        <w:p w14:paraId="419872D1" w14:textId="7FC0E186" w:rsidR="002D6965" w:rsidRPr="00AC4488" w:rsidRDefault="002D6965" w:rsidP="002D696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BE0579">
            <w:rPr>
              <w:rStyle w:val="PageNumber"/>
              <w:noProof/>
            </w:rPr>
            <w:t>3</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BE0579">
            <w:rPr>
              <w:rStyle w:val="PageNumber"/>
              <w:noProof/>
            </w:rPr>
            <w:t>28</w:t>
          </w:r>
          <w:r w:rsidRPr="00AC4488">
            <w:rPr>
              <w:rStyle w:val="PageNumber"/>
            </w:rPr>
            <w:fldChar w:fldCharType="end"/>
          </w:r>
        </w:p>
      </w:tc>
    </w:tr>
  </w:tbl>
  <w:p w14:paraId="7CEB79FD" w14:textId="06F41AD8" w:rsidR="00223DB3" w:rsidRPr="002D6965" w:rsidRDefault="00223DB3" w:rsidP="002D6965">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7822D" w14:textId="77777777" w:rsidR="00223DB3" w:rsidRPr="00F538BD" w:rsidRDefault="00223DB3" w:rsidP="004E7885">
    <w:pPr>
      <w:spacing w:after="0"/>
      <w:rPr>
        <w:sz w:val="6"/>
        <w:szCs w:val="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00199" w14:textId="77777777" w:rsidR="002D6965" w:rsidRPr="00A50829" w:rsidRDefault="002D6965" w:rsidP="002D6965">
    <w:pPr>
      <w:pStyle w:val="Hidden"/>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D6965" w:rsidRPr="00132658" w14:paraId="1053A2F0" w14:textId="77777777" w:rsidTr="00D04C8F">
      <w:trPr>
        <w:cantSplit/>
        <w:trHeight w:hRule="exact" w:val="850"/>
        <w:tblHeader/>
      </w:trPr>
      <w:tc>
        <w:tcPr>
          <w:tcW w:w="10318" w:type="dxa"/>
          <w:vAlign w:val="bottom"/>
        </w:tcPr>
        <w:p w14:paraId="637A0566" w14:textId="77777777" w:rsidR="002D6965" w:rsidRPr="00CE6614" w:rsidRDefault="002D6965" w:rsidP="002D6965">
          <w:pPr>
            <w:spacing w:after="0"/>
            <w:rPr>
              <w:rStyle w:val="PageNumber"/>
            </w:rPr>
          </w:pPr>
          <w:sdt>
            <w:sdtPr>
              <w:rPr>
                <w:rStyle w:val="PageNumber"/>
              </w:rPr>
              <w:alias w:val="Date"/>
              <w:tag w:val=""/>
              <w:id w:val="323858050"/>
              <w:placeholder>
                <w:docPart w:val="843E22AABF734CB78FD5580D5AB8BC50"/>
              </w:placeholder>
              <w:dataBinding w:prefixMappings="xmlns:ns0='http://schemas.microsoft.com/office/2006/coverPageProps' " w:xpath="/ns0:CoverPageProperties[1]/ns0:PublishDate[1]" w:storeItemID="{55AF091B-3C7A-41E3-B477-F2FDAA23CFDA}"/>
              <w15:color w:val="000000"/>
              <w:date w:fullDate="2020-06-12T00:00:00Z">
                <w:dateFormat w:val="d MMMM yyyy"/>
                <w:lid w:val="en-AU"/>
                <w:storeMappedDataAs w:val="dateTime"/>
                <w:calendar w:val="gregorian"/>
              </w:date>
            </w:sdtPr>
            <w:sdtContent>
              <w:r>
                <w:rPr>
                  <w:rStyle w:val="PageNumber"/>
                </w:rPr>
                <w:t>12 June 2020</w:t>
              </w:r>
            </w:sdtContent>
          </w:sdt>
        </w:p>
        <w:p w14:paraId="5B2E0A72" w14:textId="3274F549" w:rsidR="002D6965" w:rsidRPr="00AC4488" w:rsidRDefault="002D6965" w:rsidP="002D696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BE0579">
            <w:rPr>
              <w:rStyle w:val="PageNumber"/>
              <w:noProof/>
            </w:rPr>
            <w:t>9</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BE0579">
            <w:rPr>
              <w:rStyle w:val="PageNumber"/>
              <w:noProof/>
            </w:rPr>
            <w:t>28</w:t>
          </w:r>
          <w:r w:rsidRPr="00AC4488">
            <w:rPr>
              <w:rStyle w:val="PageNumber"/>
            </w:rPr>
            <w:fldChar w:fldCharType="end"/>
          </w:r>
        </w:p>
      </w:tc>
    </w:tr>
  </w:tbl>
  <w:p w14:paraId="66472236" w14:textId="1C15C155" w:rsidR="00223DB3" w:rsidRPr="002D6965" w:rsidRDefault="00223DB3" w:rsidP="002D6965">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2024D" w14:textId="77777777" w:rsidR="002D6965" w:rsidRPr="00A50829" w:rsidRDefault="002D6965" w:rsidP="002D6965">
    <w:pPr>
      <w:pStyle w:val="Hidden"/>
    </w:pPr>
  </w:p>
  <w:tbl>
    <w:tblPr>
      <w:tblW w:w="14034"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4034"/>
    </w:tblGrid>
    <w:tr w:rsidR="002D6965" w:rsidRPr="00132658" w14:paraId="266B7E9F" w14:textId="77777777" w:rsidTr="002D6965">
      <w:trPr>
        <w:cantSplit/>
        <w:trHeight w:hRule="exact" w:val="850"/>
        <w:tblHeader/>
      </w:trPr>
      <w:tc>
        <w:tcPr>
          <w:tcW w:w="14034" w:type="dxa"/>
          <w:vAlign w:val="bottom"/>
        </w:tcPr>
        <w:p w14:paraId="6EFF406D" w14:textId="77777777" w:rsidR="002D6965" w:rsidRPr="00CE6614" w:rsidRDefault="002D6965" w:rsidP="002D6965">
          <w:pPr>
            <w:spacing w:after="0"/>
            <w:rPr>
              <w:rStyle w:val="PageNumber"/>
            </w:rPr>
          </w:pPr>
          <w:sdt>
            <w:sdtPr>
              <w:rPr>
                <w:rStyle w:val="PageNumber"/>
              </w:rPr>
              <w:alias w:val="Date"/>
              <w:tag w:val=""/>
              <w:id w:val="-1841461921"/>
              <w:placeholder>
                <w:docPart w:val="783AF9C25769402283DB5933FC6C5329"/>
              </w:placeholder>
              <w:dataBinding w:prefixMappings="xmlns:ns0='http://schemas.microsoft.com/office/2006/coverPageProps' " w:xpath="/ns0:CoverPageProperties[1]/ns0:PublishDate[1]" w:storeItemID="{55AF091B-3C7A-41E3-B477-F2FDAA23CFDA}"/>
              <w15:color w:val="000000"/>
              <w:date w:fullDate="2020-06-12T00:00:00Z">
                <w:dateFormat w:val="d MMMM yyyy"/>
                <w:lid w:val="en-AU"/>
                <w:storeMappedDataAs w:val="dateTime"/>
                <w:calendar w:val="gregorian"/>
              </w:date>
            </w:sdtPr>
            <w:sdtContent>
              <w:r>
                <w:rPr>
                  <w:rStyle w:val="PageNumber"/>
                </w:rPr>
                <w:t>12 June 2020</w:t>
              </w:r>
            </w:sdtContent>
          </w:sdt>
        </w:p>
        <w:p w14:paraId="51578A8F" w14:textId="7B9AEC2D" w:rsidR="002D6965" w:rsidRPr="00AC4488" w:rsidRDefault="002D6965" w:rsidP="002D696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BE0579">
            <w:rPr>
              <w:rStyle w:val="PageNumber"/>
              <w:noProof/>
            </w:rPr>
            <w:t>10</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BE0579">
            <w:rPr>
              <w:rStyle w:val="PageNumber"/>
              <w:noProof/>
            </w:rPr>
            <w:t>28</w:t>
          </w:r>
          <w:r w:rsidRPr="00AC4488">
            <w:rPr>
              <w:rStyle w:val="PageNumber"/>
            </w:rPr>
            <w:fldChar w:fldCharType="end"/>
          </w:r>
        </w:p>
      </w:tc>
    </w:tr>
  </w:tbl>
  <w:p w14:paraId="04E5581B" w14:textId="77777777" w:rsidR="002D6965" w:rsidRPr="002D6965" w:rsidRDefault="002D6965" w:rsidP="002D6965">
    <w:pPr>
      <w:pStyle w:val="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3D97E" w14:textId="77777777" w:rsidR="00223DB3" w:rsidRPr="00A50829" w:rsidRDefault="00223DB3" w:rsidP="00A50829">
    <w:pPr>
      <w:pStyle w:val="Hidden"/>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23DB3" w:rsidRPr="00132658" w14:paraId="6B74199E" w14:textId="77777777" w:rsidTr="007641D9">
      <w:trPr>
        <w:cantSplit/>
        <w:trHeight w:hRule="exact" w:val="850"/>
        <w:tblHeader/>
      </w:trPr>
      <w:tc>
        <w:tcPr>
          <w:tcW w:w="10318" w:type="dxa"/>
          <w:vAlign w:val="bottom"/>
        </w:tcPr>
        <w:p w14:paraId="3C1ACAC0" w14:textId="23E4FA57" w:rsidR="001E2586" w:rsidRPr="00136A02" w:rsidRDefault="005B6973" w:rsidP="00A50829">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0-06-12T00:00:00Z">
                <w:dateFormat w:val="d MMMM yyyy"/>
                <w:lid w:val="en-AU"/>
                <w:storeMappedDataAs w:val="dateTime"/>
                <w:calendar w:val="gregorian"/>
              </w:date>
            </w:sdtPr>
            <w:sdtEndPr>
              <w:rPr>
                <w:rStyle w:val="PageNumber"/>
              </w:rPr>
            </w:sdtEndPr>
            <w:sdtContent>
              <w:r w:rsidR="001D5C9C">
                <w:rPr>
                  <w:rStyle w:val="PageNumber"/>
                </w:rPr>
                <w:t>12 June 2020</w:t>
              </w:r>
            </w:sdtContent>
          </w:sdt>
        </w:p>
        <w:p w14:paraId="4071DE90" w14:textId="7866CE84" w:rsidR="00223DB3" w:rsidRPr="00AC4488" w:rsidRDefault="00223DB3" w:rsidP="00A50829">
          <w:pPr>
            <w:spacing w:after="0"/>
            <w:rPr>
              <w:rStyle w:val="PageNumber"/>
            </w:rPr>
          </w:pPr>
          <w:r w:rsidRPr="00136A02">
            <w:rPr>
              <w:rStyle w:val="PageNumber"/>
            </w:rPr>
            <w:t xml:space="preserve">Page </w:t>
          </w:r>
          <w:r w:rsidRPr="00136A02">
            <w:rPr>
              <w:rStyle w:val="PageNumber"/>
            </w:rPr>
            <w:fldChar w:fldCharType="begin"/>
          </w:r>
          <w:r w:rsidRPr="00136A02">
            <w:rPr>
              <w:rStyle w:val="PageNumber"/>
            </w:rPr>
            <w:instrText xml:space="preserve"> PAGE  \* Arabic  \* MERGEFORMAT </w:instrText>
          </w:r>
          <w:r w:rsidRPr="00136A02">
            <w:rPr>
              <w:rStyle w:val="PageNumber"/>
            </w:rPr>
            <w:fldChar w:fldCharType="separate"/>
          </w:r>
          <w:r w:rsidR="00BE0579">
            <w:rPr>
              <w:rStyle w:val="PageNumber"/>
              <w:noProof/>
            </w:rPr>
            <w:t>28</w:t>
          </w:r>
          <w:r w:rsidRPr="00136A02">
            <w:rPr>
              <w:rStyle w:val="PageNumber"/>
            </w:rPr>
            <w:fldChar w:fldCharType="end"/>
          </w:r>
          <w:r w:rsidRPr="00136A02">
            <w:rPr>
              <w:rStyle w:val="PageNumber"/>
            </w:rPr>
            <w:t xml:space="preserve"> of </w:t>
          </w:r>
          <w:r w:rsidRPr="00136A02">
            <w:rPr>
              <w:rStyle w:val="PageNumber"/>
            </w:rPr>
            <w:fldChar w:fldCharType="begin"/>
          </w:r>
          <w:r w:rsidRPr="00136A02">
            <w:rPr>
              <w:rStyle w:val="PageNumber"/>
            </w:rPr>
            <w:instrText xml:space="preserve"> NUMPAGES  \* Arabic  \* MERGEFORMAT </w:instrText>
          </w:r>
          <w:r w:rsidRPr="00136A02">
            <w:rPr>
              <w:rStyle w:val="PageNumber"/>
            </w:rPr>
            <w:fldChar w:fldCharType="separate"/>
          </w:r>
          <w:r w:rsidR="00BE0579">
            <w:rPr>
              <w:rStyle w:val="PageNumber"/>
              <w:noProof/>
            </w:rPr>
            <w:t>28</w:t>
          </w:r>
          <w:r w:rsidRPr="00136A02">
            <w:rPr>
              <w:rStyle w:val="PageNumber"/>
            </w:rPr>
            <w:fldChar w:fldCharType="end"/>
          </w:r>
        </w:p>
      </w:tc>
    </w:tr>
  </w:tbl>
  <w:p w14:paraId="6007C466" w14:textId="77777777" w:rsidR="00223DB3" w:rsidRDefault="00223DB3" w:rsidP="00AD1B26">
    <w:pPr>
      <w:pStyle w:val="Hidden"/>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E98EB" w14:textId="77777777" w:rsidR="005B6973" w:rsidRDefault="005B6973">
      <w:r>
        <w:separator/>
      </w:r>
    </w:p>
  </w:footnote>
  <w:footnote w:type="continuationSeparator" w:id="0">
    <w:p w14:paraId="491A9BD0" w14:textId="77777777" w:rsidR="005B6973" w:rsidRDefault="005B6973">
      <w:r>
        <w:continuationSeparator/>
      </w:r>
    </w:p>
  </w:footnote>
  <w:footnote w:type="continuationNotice" w:id="1">
    <w:p w14:paraId="31059248" w14:textId="77777777" w:rsidR="005B6973" w:rsidRDefault="005B6973">
      <w:pPr>
        <w:spacing w:after="0"/>
      </w:pPr>
    </w:p>
  </w:footnote>
  <w:footnote w:id="2">
    <w:p w14:paraId="5E1068DF" w14:textId="3D2D8B23" w:rsidR="00223DB3" w:rsidRPr="00222483" w:rsidRDefault="00223DB3">
      <w:pPr>
        <w:pStyle w:val="FootnoteText"/>
      </w:pPr>
      <w:r>
        <w:rPr>
          <w:rStyle w:val="FootnoteReference"/>
        </w:rPr>
        <w:footnoteRef/>
      </w:r>
      <w:r>
        <w:t xml:space="preserve"> Northern Territory Government 2020, </w:t>
      </w:r>
      <w:r w:rsidRPr="008218E4">
        <w:rPr>
          <w:i/>
        </w:rPr>
        <w:t xml:space="preserve">Northern Territory Electricity Market Priority Reform </w:t>
      </w:r>
      <w:r>
        <w:rPr>
          <w:i/>
        </w:rPr>
        <w:t>Program</w:t>
      </w:r>
      <w:r w:rsidRPr="008218E4">
        <w:rPr>
          <w:i/>
        </w:rPr>
        <w:t xml:space="preserve"> – Introductory notes on scope and work program</w:t>
      </w:r>
      <w:r>
        <w:t xml:space="preserve">, </w:t>
      </w:r>
      <w:r w:rsidRPr="00222483">
        <w:t>June</w:t>
      </w:r>
      <w:r w:rsidR="00222483">
        <w:t>.</w:t>
      </w:r>
    </w:p>
  </w:footnote>
  <w:footnote w:id="3">
    <w:p w14:paraId="36942128" w14:textId="77777777" w:rsidR="00223DB3" w:rsidRDefault="00223DB3">
      <w:pPr>
        <w:pStyle w:val="FootnoteText"/>
      </w:pPr>
      <w:r>
        <w:rPr>
          <w:rStyle w:val="FootnoteReference"/>
        </w:rPr>
        <w:footnoteRef/>
      </w:r>
      <w:r>
        <w:t xml:space="preserve"> Department of Treasury and Finance 2019, </w:t>
      </w:r>
      <w:r w:rsidRPr="008218E4">
        <w:rPr>
          <w:i/>
        </w:rPr>
        <w:t>Northern Territory Electricity Market Consultation Draft Functional Specification</w:t>
      </w:r>
      <w:r>
        <w:t>, February.</w:t>
      </w:r>
    </w:p>
  </w:footnote>
  <w:footnote w:id="4">
    <w:p w14:paraId="6BC8D5D1" w14:textId="120EC009" w:rsidR="00223DB3" w:rsidRPr="00B07FB2" w:rsidRDefault="00223DB3" w:rsidP="00CB560D">
      <w:pPr>
        <w:pStyle w:val="FootnoteText"/>
        <w:rPr>
          <w:rFonts w:ascii="Arial" w:hAnsi="Arial" w:cs="Arial"/>
        </w:rPr>
      </w:pPr>
      <w:r>
        <w:rPr>
          <w:rStyle w:val="FootnoteReference"/>
        </w:rPr>
        <w:footnoteRef/>
      </w:r>
      <w:r>
        <w:t xml:space="preserve"> </w:t>
      </w:r>
      <w:r w:rsidRPr="0021322F">
        <w:rPr>
          <w:i/>
        </w:rPr>
        <w:t>National Electricity (South Australia) Act 1996</w:t>
      </w:r>
      <w:r>
        <w:rPr>
          <w:i/>
        </w:rPr>
        <w:t xml:space="preserve"> (SA)</w:t>
      </w:r>
      <w:r>
        <w:t xml:space="preserve">, National Electricity Law, </w:t>
      </w:r>
      <w:proofErr w:type="spellStart"/>
      <w:r>
        <w:t>sch</w:t>
      </w:r>
      <w:proofErr w:type="spellEnd"/>
      <w:r>
        <w:t xml:space="preserve"> 1 s 7.</w:t>
      </w:r>
    </w:p>
  </w:footnote>
  <w:footnote w:id="5">
    <w:p w14:paraId="12BFAE69" w14:textId="5AE9DBA8" w:rsidR="00223DB3" w:rsidRPr="008218E4" w:rsidRDefault="00223DB3">
      <w:pPr>
        <w:pStyle w:val="FootnoteText"/>
        <w:rPr>
          <w:rFonts w:asciiTheme="minorHAnsi" w:hAnsiTheme="minorHAnsi"/>
        </w:rPr>
      </w:pPr>
      <w:r w:rsidRPr="008218E4">
        <w:rPr>
          <w:rStyle w:val="FootnoteReference"/>
          <w:rFonts w:asciiTheme="minorHAnsi" w:hAnsiTheme="minorHAnsi"/>
        </w:rPr>
        <w:footnoteRef/>
      </w:r>
      <w:r w:rsidRPr="008218E4">
        <w:rPr>
          <w:rFonts w:asciiTheme="minorHAnsi" w:hAnsiTheme="minorHAnsi"/>
        </w:rPr>
        <w:t xml:space="preserve"> </w:t>
      </w:r>
      <w:r>
        <w:rPr>
          <w:rFonts w:asciiTheme="minorHAnsi" w:hAnsiTheme="minorHAnsi"/>
        </w:rPr>
        <w:t>Power and Water Corporation</w:t>
      </w:r>
      <w:r w:rsidRPr="008218E4">
        <w:rPr>
          <w:rFonts w:asciiTheme="minorHAnsi" w:hAnsiTheme="minorHAnsi"/>
        </w:rPr>
        <w:t xml:space="preserve"> 2017, </w:t>
      </w:r>
      <w:r w:rsidRPr="008218E4">
        <w:rPr>
          <w:rFonts w:asciiTheme="minorHAnsi" w:hAnsiTheme="minorHAnsi"/>
          <w:i/>
        </w:rPr>
        <w:t>System Secure Guidelines Version No. 4</w:t>
      </w:r>
      <w:r w:rsidRPr="008218E4">
        <w:rPr>
          <w:rFonts w:asciiTheme="minorHAnsi" w:hAnsiTheme="minorHAnsi"/>
        </w:rPr>
        <w:t>, March, s. 8.</w:t>
      </w:r>
    </w:p>
  </w:footnote>
  <w:footnote w:id="6">
    <w:p w14:paraId="3CE27FAC" w14:textId="589C9352" w:rsidR="00223DB3" w:rsidRPr="008218E4" w:rsidRDefault="00223DB3" w:rsidP="00CB560D">
      <w:pPr>
        <w:pStyle w:val="FootnoteText"/>
        <w:rPr>
          <w:rFonts w:asciiTheme="minorHAnsi" w:hAnsiTheme="minorHAnsi"/>
        </w:rPr>
      </w:pPr>
      <w:r w:rsidRPr="008218E4">
        <w:rPr>
          <w:rStyle w:val="FootnoteReference"/>
          <w:rFonts w:asciiTheme="minorHAnsi" w:hAnsiTheme="minorHAnsi"/>
        </w:rPr>
        <w:footnoteRef/>
      </w:r>
      <w:r w:rsidRPr="008218E4">
        <w:rPr>
          <w:rFonts w:asciiTheme="minorHAnsi" w:hAnsiTheme="minorHAnsi"/>
        </w:rPr>
        <w:t xml:space="preserve"> </w:t>
      </w:r>
      <w:r>
        <w:rPr>
          <w:rFonts w:asciiTheme="minorHAnsi" w:hAnsiTheme="minorHAnsi"/>
        </w:rPr>
        <w:t>Power and Water Corporation</w:t>
      </w:r>
      <w:r w:rsidRPr="008218E4">
        <w:rPr>
          <w:rFonts w:asciiTheme="minorHAnsi" w:hAnsiTheme="minorHAnsi"/>
        </w:rPr>
        <w:t xml:space="preserve"> 2020, </w:t>
      </w:r>
      <w:r w:rsidRPr="008218E4">
        <w:rPr>
          <w:rFonts w:asciiTheme="minorHAnsi" w:hAnsiTheme="minorHAnsi"/>
          <w:i/>
        </w:rPr>
        <w:t>Network Technical Code and Planning Criteria Version No. 4</w:t>
      </w:r>
      <w:r w:rsidRPr="008218E4">
        <w:rPr>
          <w:rFonts w:asciiTheme="minorHAnsi" w:hAnsiTheme="minorHAnsi"/>
        </w:rPr>
        <w:t>, March, s. 4.5.1(f).</w:t>
      </w:r>
    </w:p>
  </w:footnote>
  <w:footnote w:id="7">
    <w:p w14:paraId="5848C678" w14:textId="09CCA216" w:rsidR="00223DB3" w:rsidRDefault="00223DB3">
      <w:pPr>
        <w:pStyle w:val="FootnoteText"/>
      </w:pPr>
      <w:r w:rsidRPr="008218E4">
        <w:rPr>
          <w:rStyle w:val="FootnoteReference"/>
          <w:rFonts w:asciiTheme="minorHAnsi" w:hAnsiTheme="minorHAnsi"/>
        </w:rPr>
        <w:footnoteRef/>
      </w:r>
      <w:r w:rsidRPr="008218E4">
        <w:rPr>
          <w:rFonts w:asciiTheme="minorHAnsi" w:hAnsiTheme="minorHAnsi"/>
        </w:rPr>
        <w:t xml:space="preserve"> </w:t>
      </w:r>
      <w:r>
        <w:rPr>
          <w:rFonts w:asciiTheme="minorHAnsi" w:hAnsiTheme="minorHAnsi"/>
        </w:rPr>
        <w:t>Power and Water Corporation</w:t>
      </w:r>
      <w:r w:rsidRPr="008218E4">
        <w:rPr>
          <w:rFonts w:asciiTheme="minorHAnsi" w:hAnsiTheme="minorHAnsi"/>
        </w:rPr>
        <w:t xml:space="preserve"> 2020, </w:t>
      </w:r>
      <w:r w:rsidRPr="008218E4">
        <w:rPr>
          <w:rFonts w:asciiTheme="minorHAnsi" w:hAnsiTheme="minorHAnsi"/>
          <w:i/>
        </w:rPr>
        <w:t>System Control Technical Code Version No. 6</w:t>
      </w:r>
      <w:r w:rsidRPr="008218E4">
        <w:rPr>
          <w:rFonts w:asciiTheme="minorHAnsi" w:hAnsiTheme="minorHAnsi"/>
        </w:rPr>
        <w:t>, March, p. 65.</w:t>
      </w:r>
    </w:p>
  </w:footnote>
  <w:footnote w:id="8">
    <w:p w14:paraId="7AF2D364" w14:textId="70FCBA0F" w:rsidR="00223DB3" w:rsidRPr="008218E4" w:rsidRDefault="00223DB3" w:rsidP="00CB560D">
      <w:pPr>
        <w:pStyle w:val="FootnoteText"/>
        <w:rPr>
          <w:rFonts w:asciiTheme="minorHAnsi" w:hAnsiTheme="minorHAnsi" w:cs="Arial"/>
        </w:rPr>
      </w:pPr>
      <w:r w:rsidRPr="008218E4">
        <w:rPr>
          <w:rStyle w:val="FootnoteReference"/>
          <w:rFonts w:asciiTheme="minorHAnsi" w:hAnsiTheme="minorHAnsi" w:cs="Arial"/>
        </w:rPr>
        <w:footnoteRef/>
      </w:r>
      <w:r w:rsidRPr="008218E4">
        <w:rPr>
          <w:rFonts w:asciiTheme="minorHAnsi" w:hAnsiTheme="minorHAnsi" w:cs="Arial"/>
        </w:rPr>
        <w:t xml:space="preserve"> </w:t>
      </w:r>
      <w:r>
        <w:rPr>
          <w:rFonts w:asciiTheme="minorHAnsi" w:hAnsiTheme="minorHAnsi" w:cs="Arial"/>
        </w:rPr>
        <w:t>Australian Energy Market Commission</w:t>
      </w:r>
      <w:r w:rsidRPr="008218E4">
        <w:rPr>
          <w:rFonts w:asciiTheme="minorHAnsi" w:hAnsiTheme="minorHAnsi" w:cs="Arial"/>
        </w:rPr>
        <w:t xml:space="preserve"> 2020, </w:t>
      </w:r>
      <w:r w:rsidRPr="008218E4">
        <w:rPr>
          <w:rFonts w:asciiTheme="minorHAnsi" w:hAnsiTheme="minorHAnsi" w:cs="Arial"/>
          <w:i/>
        </w:rPr>
        <w:t>National Electricity Rules Version No. 140</w:t>
      </w:r>
      <w:r w:rsidRPr="008218E4">
        <w:rPr>
          <w:rFonts w:asciiTheme="minorHAnsi" w:hAnsiTheme="minorHAnsi" w:cs="Arial"/>
        </w:rPr>
        <w:t>, May, rule 3.11.2(b).</w:t>
      </w:r>
    </w:p>
  </w:footnote>
  <w:footnote w:id="9">
    <w:p w14:paraId="50A48F73" w14:textId="2A7AC836" w:rsidR="00223DB3" w:rsidRPr="008218E4" w:rsidRDefault="00223DB3" w:rsidP="00CB560D">
      <w:pPr>
        <w:pStyle w:val="FootnoteText"/>
        <w:rPr>
          <w:rFonts w:asciiTheme="minorHAnsi" w:hAnsiTheme="minorHAnsi" w:cs="Arial"/>
        </w:rPr>
      </w:pPr>
      <w:r w:rsidRPr="008218E4">
        <w:rPr>
          <w:rStyle w:val="FootnoteReference"/>
          <w:rFonts w:asciiTheme="minorHAnsi" w:hAnsiTheme="minorHAnsi" w:cs="Arial"/>
        </w:rPr>
        <w:footnoteRef/>
      </w:r>
      <w:r w:rsidRPr="008218E4">
        <w:rPr>
          <w:rFonts w:asciiTheme="minorHAnsi" w:hAnsiTheme="minorHAnsi" w:cs="Arial"/>
        </w:rPr>
        <w:t xml:space="preserve"> </w:t>
      </w:r>
      <w:r>
        <w:rPr>
          <w:rFonts w:asciiTheme="minorHAnsi" w:hAnsiTheme="minorHAnsi" w:cs="Arial"/>
        </w:rPr>
        <w:t>Australian Energy Market Commission</w:t>
      </w:r>
      <w:r w:rsidRPr="008218E4">
        <w:rPr>
          <w:rFonts w:asciiTheme="minorHAnsi" w:hAnsiTheme="minorHAnsi" w:cs="Arial"/>
        </w:rPr>
        <w:t xml:space="preserve"> 2020, </w:t>
      </w:r>
      <w:r w:rsidRPr="008218E4">
        <w:rPr>
          <w:rFonts w:asciiTheme="minorHAnsi" w:hAnsiTheme="minorHAnsi" w:cs="Arial"/>
          <w:i/>
        </w:rPr>
        <w:t>National Electricity Rules Version No. 140</w:t>
      </w:r>
      <w:r w:rsidRPr="008218E4">
        <w:rPr>
          <w:rFonts w:asciiTheme="minorHAnsi" w:hAnsiTheme="minorHAnsi" w:cs="Arial"/>
        </w:rPr>
        <w:t>, May, rule 3.11.4(a1).</w:t>
      </w:r>
    </w:p>
  </w:footnote>
  <w:footnote w:id="10">
    <w:p w14:paraId="54200CD0" w14:textId="0DB9BC35" w:rsidR="00223DB3" w:rsidRPr="008218E4" w:rsidRDefault="00223DB3" w:rsidP="00CB560D">
      <w:pPr>
        <w:pStyle w:val="FootnoteText"/>
        <w:rPr>
          <w:rFonts w:asciiTheme="minorHAnsi" w:hAnsiTheme="minorHAnsi" w:cs="Arial"/>
        </w:rPr>
      </w:pPr>
      <w:r w:rsidRPr="008218E4">
        <w:rPr>
          <w:rStyle w:val="FootnoteReference"/>
          <w:rFonts w:asciiTheme="minorHAnsi" w:hAnsiTheme="minorHAnsi" w:cs="Arial"/>
        </w:rPr>
        <w:footnoteRef/>
      </w:r>
      <w:r w:rsidRPr="008218E4">
        <w:rPr>
          <w:rFonts w:asciiTheme="minorHAnsi" w:hAnsiTheme="minorHAnsi" w:cs="Arial"/>
        </w:rPr>
        <w:t xml:space="preserve"> </w:t>
      </w:r>
      <w:r>
        <w:rPr>
          <w:rFonts w:asciiTheme="minorHAnsi" w:hAnsiTheme="minorHAnsi" w:cs="Arial"/>
        </w:rPr>
        <w:t>Australian Energy Market Commission</w:t>
      </w:r>
      <w:r w:rsidRPr="008218E4">
        <w:rPr>
          <w:rFonts w:asciiTheme="minorHAnsi" w:hAnsiTheme="minorHAnsi" w:cs="Arial"/>
        </w:rPr>
        <w:t xml:space="preserve"> 2020, </w:t>
      </w:r>
      <w:r w:rsidRPr="008218E4">
        <w:rPr>
          <w:rFonts w:asciiTheme="minorHAnsi" w:hAnsiTheme="minorHAnsi" w:cs="Arial"/>
          <w:i/>
        </w:rPr>
        <w:t>National Electricity Rules Version No. 140</w:t>
      </w:r>
      <w:r w:rsidRPr="008218E4">
        <w:rPr>
          <w:rFonts w:asciiTheme="minorHAnsi" w:hAnsiTheme="minorHAnsi" w:cs="Arial"/>
        </w:rPr>
        <w:t>, May, rules 3.11.2(d), 3.11.4(d).</w:t>
      </w:r>
    </w:p>
  </w:footnote>
  <w:footnote w:id="11">
    <w:p w14:paraId="6C985FD3" w14:textId="6F49ECD8" w:rsidR="00223DB3" w:rsidRPr="00B07FB2" w:rsidRDefault="00223DB3" w:rsidP="00CB560D">
      <w:pPr>
        <w:pStyle w:val="FootnoteText"/>
        <w:rPr>
          <w:rFonts w:ascii="Arial" w:hAnsi="Arial" w:cs="Arial"/>
        </w:rPr>
      </w:pPr>
      <w:r w:rsidRPr="008218E4">
        <w:rPr>
          <w:rStyle w:val="FootnoteReference"/>
          <w:rFonts w:asciiTheme="minorHAnsi" w:hAnsiTheme="minorHAnsi" w:cs="Arial"/>
        </w:rPr>
        <w:footnoteRef/>
      </w:r>
      <w:r w:rsidRPr="008218E4">
        <w:rPr>
          <w:rFonts w:asciiTheme="minorHAnsi" w:hAnsiTheme="minorHAnsi" w:cs="Arial"/>
        </w:rPr>
        <w:t xml:space="preserve"> </w:t>
      </w:r>
      <w:r w:rsidRPr="008218E4">
        <w:rPr>
          <w:rFonts w:asciiTheme="minorHAnsi" w:hAnsiTheme="minorHAnsi"/>
        </w:rPr>
        <w:t xml:space="preserve">Department of Treasury and Finance 2019, </w:t>
      </w:r>
      <w:r w:rsidRPr="008218E4">
        <w:rPr>
          <w:rFonts w:asciiTheme="minorHAnsi" w:hAnsiTheme="minorHAnsi"/>
          <w:i/>
        </w:rPr>
        <w:t>Northern Territory Electricity Market Consultation Draft Functional Specification</w:t>
      </w:r>
      <w:r w:rsidRPr="008218E4">
        <w:rPr>
          <w:rFonts w:asciiTheme="minorHAnsi" w:hAnsiTheme="minorHAnsi"/>
        </w:rPr>
        <w:t xml:space="preserve">, </w:t>
      </w:r>
      <w:r w:rsidRPr="00061868">
        <w:rPr>
          <w:rFonts w:asciiTheme="minorHAnsi" w:hAnsiTheme="minorHAnsi" w:cs="Arial"/>
          <w:i/>
        </w:rPr>
        <w:t>February</w:t>
      </w:r>
      <w:r w:rsidRPr="008218E4">
        <w:rPr>
          <w:rFonts w:asciiTheme="minorHAnsi" w:hAnsiTheme="minorHAnsi" w:cs="Arial"/>
        </w:rPr>
        <w:t>, p. 21.</w:t>
      </w:r>
    </w:p>
  </w:footnote>
  <w:footnote w:id="12">
    <w:p w14:paraId="2CA120CF" w14:textId="2DD499C5" w:rsidR="00223DB3" w:rsidRDefault="00223DB3">
      <w:pPr>
        <w:pStyle w:val="FootnoteText"/>
      </w:pPr>
      <w:r>
        <w:rPr>
          <w:rStyle w:val="FootnoteReference"/>
        </w:rPr>
        <w:footnoteRef/>
      </w:r>
      <w:r>
        <w:t xml:space="preserve"> </w:t>
      </w:r>
      <w:r>
        <w:rPr>
          <w:rFonts w:asciiTheme="minorHAnsi" w:hAnsiTheme="minorHAnsi" w:cs="Arial"/>
        </w:rPr>
        <w:t>Australian Energy Market Commission</w:t>
      </w:r>
      <w:r>
        <w:t xml:space="preserve"> 2017, </w:t>
      </w:r>
      <w:proofErr w:type="gramStart"/>
      <w:r w:rsidRPr="008218E4">
        <w:rPr>
          <w:i/>
        </w:rPr>
        <w:t>Managing</w:t>
      </w:r>
      <w:proofErr w:type="gramEnd"/>
      <w:r w:rsidRPr="008218E4">
        <w:rPr>
          <w:i/>
        </w:rPr>
        <w:t xml:space="preserve"> power system fault levels –</w:t>
      </w:r>
      <w:r w:rsidRPr="00345BDC">
        <w:rPr>
          <w:i/>
        </w:rPr>
        <w:t>i</w:t>
      </w:r>
      <w:r w:rsidRPr="008218E4">
        <w:rPr>
          <w:i/>
        </w:rPr>
        <w:t xml:space="preserve">nformation </w:t>
      </w:r>
      <w:r>
        <w:rPr>
          <w:i/>
        </w:rPr>
        <w:t>s</w:t>
      </w:r>
      <w:r w:rsidRPr="008218E4">
        <w:rPr>
          <w:i/>
        </w:rPr>
        <w:t>heet</w:t>
      </w:r>
      <w:r>
        <w:t xml:space="preserve">, September; </w:t>
      </w:r>
      <w:r w:rsidRPr="008218E4">
        <w:rPr>
          <w:i/>
        </w:rPr>
        <w:t>Managing the rate of change of power system frequency – information sheet</w:t>
      </w:r>
      <w:r>
        <w:t>, 19 September.</w:t>
      </w:r>
    </w:p>
  </w:footnote>
  <w:footnote w:id="13">
    <w:p w14:paraId="3C74621E" w14:textId="77777777" w:rsidR="00223DB3" w:rsidRDefault="00223DB3">
      <w:pPr>
        <w:pStyle w:val="FootnoteText"/>
      </w:pPr>
      <w:r>
        <w:rPr>
          <w:rStyle w:val="FootnoteReference"/>
        </w:rPr>
        <w:footnoteRef/>
      </w:r>
      <w:r>
        <w:t xml:space="preserve"> Energy Transformation Taskforce 2019, </w:t>
      </w:r>
      <w:r w:rsidRPr="008218E4">
        <w:rPr>
          <w:i/>
        </w:rPr>
        <w:t>Essential System Services – Scheduling and Dispatch</w:t>
      </w:r>
      <w:r>
        <w:t>, December.</w:t>
      </w:r>
    </w:p>
  </w:footnote>
  <w:footnote w:id="14">
    <w:p w14:paraId="57E4E639" w14:textId="501BE100" w:rsidR="00223DB3" w:rsidRPr="00B07FB2" w:rsidRDefault="00223DB3" w:rsidP="00CB560D">
      <w:pPr>
        <w:pStyle w:val="FootnoteText"/>
        <w:rPr>
          <w:rFonts w:ascii="Arial" w:hAnsi="Arial" w:cs="Arial"/>
        </w:rPr>
      </w:pPr>
      <w:r w:rsidRPr="00B07FB2">
        <w:rPr>
          <w:rStyle w:val="FootnoteReference"/>
          <w:rFonts w:ascii="Arial" w:hAnsi="Arial" w:cs="Arial"/>
        </w:rPr>
        <w:footnoteRef/>
      </w:r>
      <w:r w:rsidRPr="00B07FB2">
        <w:rPr>
          <w:rFonts w:ascii="Arial" w:hAnsi="Arial" w:cs="Arial"/>
        </w:rPr>
        <w:t xml:space="preserve"> </w:t>
      </w:r>
      <w:r>
        <w:rPr>
          <w:rFonts w:asciiTheme="minorHAnsi" w:hAnsiTheme="minorHAnsi"/>
        </w:rPr>
        <w:t>Power and Water Corporation</w:t>
      </w:r>
      <w:r>
        <w:t xml:space="preserve"> 2020</w:t>
      </w:r>
      <w:r w:rsidRPr="008218E4">
        <w:rPr>
          <w:i/>
        </w:rPr>
        <w:t>, System Control Technical Code Version No. 6</w:t>
      </w:r>
      <w:r>
        <w:t xml:space="preserve">, March, </w:t>
      </w:r>
      <w:r>
        <w:rPr>
          <w:rFonts w:ascii="Arial" w:hAnsi="Arial" w:cs="Arial"/>
        </w:rPr>
        <w:t>s.</w:t>
      </w:r>
      <w:r w:rsidRPr="00B07FB2">
        <w:rPr>
          <w:rFonts w:ascii="Arial" w:hAnsi="Arial" w:cs="Arial"/>
        </w:rPr>
        <w:t xml:space="preserve"> 3.3.2.</w:t>
      </w:r>
    </w:p>
  </w:footnote>
  <w:footnote w:id="15">
    <w:p w14:paraId="036103EF" w14:textId="58938CF3" w:rsidR="00223DB3" w:rsidRDefault="00223DB3" w:rsidP="00FB5318">
      <w:pPr>
        <w:pStyle w:val="FootnoteText"/>
      </w:pPr>
      <w:r>
        <w:rPr>
          <w:rStyle w:val="FootnoteReference"/>
        </w:rPr>
        <w:footnoteRef/>
      </w:r>
      <w:r>
        <w:t xml:space="preserve"> </w:t>
      </w:r>
      <w:r>
        <w:rPr>
          <w:rFonts w:asciiTheme="minorHAnsi" w:hAnsiTheme="minorHAnsi"/>
        </w:rPr>
        <w:t>Power and Water Corporation</w:t>
      </w:r>
      <w:r>
        <w:t xml:space="preserve"> 2017, </w:t>
      </w:r>
      <w:r w:rsidRPr="008218E4">
        <w:rPr>
          <w:i/>
        </w:rPr>
        <w:t>System Secure Guidelines Version No. 4</w:t>
      </w:r>
      <w:r>
        <w:t>, March, s. 5, 12.</w:t>
      </w:r>
    </w:p>
  </w:footnote>
  <w:footnote w:id="16">
    <w:p w14:paraId="3BE09887" w14:textId="2F9318DA" w:rsidR="00223DB3" w:rsidRDefault="00223DB3">
      <w:pPr>
        <w:pStyle w:val="FootnoteText"/>
      </w:pPr>
      <w:r>
        <w:rPr>
          <w:rStyle w:val="FootnoteReference"/>
        </w:rPr>
        <w:footnoteRef/>
      </w:r>
      <w:r>
        <w:t xml:space="preserve"> Power and Water Corporation 2020</w:t>
      </w:r>
      <w:r w:rsidRPr="00666682">
        <w:rPr>
          <w:i/>
        </w:rPr>
        <w:t>, System Control Technical Code Version No. 6</w:t>
      </w:r>
      <w:r>
        <w:t xml:space="preserve">, March, </w:t>
      </w:r>
      <w:r>
        <w:rPr>
          <w:rFonts w:ascii="Arial" w:hAnsi="Arial" w:cs="Arial"/>
        </w:rPr>
        <w:t>clause 3.2.10(c</w:t>
      </w:r>
      <w:proofErr w:type="gramStart"/>
      <w:r>
        <w:rPr>
          <w:rFonts w:ascii="Arial" w:hAnsi="Arial" w:cs="Arial"/>
        </w:rPr>
        <w:t>)(</w:t>
      </w:r>
      <w:proofErr w:type="gramEnd"/>
      <w:r>
        <w:rPr>
          <w:rFonts w:ascii="Arial" w:hAnsi="Arial" w:cs="Arial"/>
        </w:rPr>
        <w:t>4)</w:t>
      </w:r>
      <w:r w:rsidRPr="00B07FB2">
        <w:rPr>
          <w:rFonts w:ascii="Arial" w:hAnsi="Arial" w:cs="Arial"/>
        </w:rPr>
        <w:t>.</w:t>
      </w:r>
    </w:p>
  </w:footnote>
  <w:footnote w:id="17">
    <w:p w14:paraId="32484F6E" w14:textId="77777777" w:rsidR="00223DB3" w:rsidRDefault="00223DB3">
      <w:pPr>
        <w:pStyle w:val="FootnoteText"/>
      </w:pPr>
      <w:r>
        <w:rPr>
          <w:rStyle w:val="FootnoteReference"/>
        </w:rPr>
        <w:footnoteRef/>
      </w:r>
      <w:r>
        <w:t xml:space="preserve"> </w:t>
      </w:r>
      <w:r w:rsidRPr="00CC6FCF">
        <w:t>Electricity Industry (Wholesale Electricity Market) Regulations 2004</w:t>
      </w:r>
      <w:r>
        <w:t xml:space="preserve">, </w:t>
      </w:r>
      <w:r w:rsidRPr="008218E4">
        <w:rPr>
          <w:i/>
        </w:rPr>
        <w:t>Wholesale Electricity Market Rules</w:t>
      </w:r>
      <w:r>
        <w:t>, 30 March 2020, rule 3.10.</w:t>
      </w:r>
    </w:p>
  </w:footnote>
  <w:footnote w:id="18">
    <w:p w14:paraId="1B1C0761" w14:textId="77777777" w:rsidR="00223DB3" w:rsidRDefault="00223DB3">
      <w:pPr>
        <w:pStyle w:val="FootnoteText"/>
      </w:pPr>
      <w:r>
        <w:rPr>
          <w:rStyle w:val="FootnoteReference"/>
        </w:rPr>
        <w:footnoteRef/>
      </w:r>
      <w:r>
        <w:t xml:space="preserve"> Western Power System Management 2014, </w:t>
      </w:r>
      <w:r w:rsidRPr="008218E4">
        <w:rPr>
          <w:i/>
        </w:rPr>
        <w:t>System Restart Standard</w:t>
      </w:r>
      <w:r>
        <w:t>, October.</w:t>
      </w:r>
    </w:p>
  </w:footnote>
  <w:footnote w:id="19">
    <w:p w14:paraId="1D53D49B" w14:textId="392D1D1E" w:rsidR="00223DB3" w:rsidRDefault="00223DB3">
      <w:pPr>
        <w:pStyle w:val="FootnoteText"/>
      </w:pPr>
      <w:r>
        <w:rPr>
          <w:rStyle w:val="FootnoteReference"/>
        </w:rPr>
        <w:footnoteRef/>
      </w:r>
      <w:r>
        <w:t xml:space="preserve"> </w:t>
      </w:r>
      <w:r>
        <w:rPr>
          <w:rFonts w:asciiTheme="minorHAnsi" w:hAnsiTheme="minorHAnsi" w:cs="Arial"/>
        </w:rPr>
        <w:t>Australian Energy Market Commission</w:t>
      </w:r>
      <w:r w:rsidRPr="00666682">
        <w:rPr>
          <w:rFonts w:asciiTheme="minorHAnsi" w:hAnsiTheme="minorHAnsi" w:cs="Arial"/>
        </w:rPr>
        <w:t xml:space="preserve"> 2020, </w:t>
      </w:r>
      <w:r w:rsidRPr="00666682">
        <w:rPr>
          <w:rFonts w:asciiTheme="minorHAnsi" w:hAnsiTheme="minorHAnsi" w:cs="Arial"/>
          <w:i/>
        </w:rPr>
        <w:t>National Electricity Rules Version No. 140</w:t>
      </w:r>
      <w:r w:rsidRPr="00666682">
        <w:rPr>
          <w:rFonts w:asciiTheme="minorHAnsi" w:hAnsiTheme="minorHAnsi" w:cs="Arial"/>
        </w:rPr>
        <w:t>, May, rule</w:t>
      </w:r>
      <w:r>
        <w:rPr>
          <w:rFonts w:asciiTheme="minorHAnsi" w:hAnsiTheme="minorHAnsi" w:cs="Arial"/>
        </w:rPr>
        <w:t>s 3.11.7, 8.8.1(1a)</w:t>
      </w:r>
      <w:r w:rsidRPr="00666682">
        <w:rPr>
          <w:rFonts w:asciiTheme="minorHAnsi" w:hAnsiTheme="minorHAnsi" w:cs="Arial"/>
        </w:rPr>
        <w:t>.</w:t>
      </w:r>
    </w:p>
  </w:footnote>
  <w:footnote w:id="20">
    <w:p w14:paraId="340FF2E9" w14:textId="12C2CB0A" w:rsidR="00223DB3" w:rsidRDefault="00223DB3">
      <w:pPr>
        <w:pStyle w:val="FootnoteText"/>
      </w:pPr>
      <w:r>
        <w:rPr>
          <w:rStyle w:val="FootnoteReference"/>
        </w:rPr>
        <w:footnoteRef/>
      </w:r>
      <w:r>
        <w:t xml:space="preserve"> </w:t>
      </w:r>
      <w:r>
        <w:rPr>
          <w:rFonts w:asciiTheme="minorHAnsi" w:hAnsiTheme="minorHAnsi" w:cs="Arial"/>
        </w:rPr>
        <w:t>Australian Energy Market Commission</w:t>
      </w:r>
      <w:r w:rsidRPr="00666682">
        <w:rPr>
          <w:rFonts w:asciiTheme="minorHAnsi" w:hAnsiTheme="minorHAnsi" w:cs="Arial"/>
        </w:rPr>
        <w:t xml:space="preserve"> 2020, </w:t>
      </w:r>
      <w:r w:rsidRPr="00666682">
        <w:rPr>
          <w:rFonts w:asciiTheme="minorHAnsi" w:hAnsiTheme="minorHAnsi" w:cs="Arial"/>
          <w:i/>
        </w:rPr>
        <w:t>National Electricity Rules Version No. 140</w:t>
      </w:r>
      <w:r w:rsidRPr="00666682">
        <w:rPr>
          <w:rFonts w:asciiTheme="minorHAnsi" w:hAnsiTheme="minorHAnsi" w:cs="Arial"/>
        </w:rPr>
        <w:t>, May, rule</w:t>
      </w:r>
      <w:r>
        <w:rPr>
          <w:rFonts w:asciiTheme="minorHAnsi" w:hAnsiTheme="minorHAnsi" w:cs="Arial"/>
        </w:rPr>
        <w:t xml:space="preserve">s </w:t>
      </w:r>
      <w:proofErr w:type="gramStart"/>
      <w:r>
        <w:rPr>
          <w:rFonts w:asciiTheme="minorHAnsi" w:hAnsiTheme="minorHAnsi" w:cs="Arial"/>
        </w:rPr>
        <w:t>3.11.2A(</w:t>
      </w:r>
      <w:proofErr w:type="gramEnd"/>
      <w:r>
        <w:rPr>
          <w:rFonts w:asciiTheme="minorHAnsi" w:hAnsiTheme="minorHAnsi" w:cs="Arial"/>
        </w:rPr>
        <w:t>b), 3.11.5(k), 3.11.10(a)</w:t>
      </w:r>
      <w:r w:rsidRPr="00666682">
        <w:rPr>
          <w:rFonts w:asciiTheme="minorHAnsi" w:hAnsiTheme="minorHAnsi" w:cs="Arial"/>
        </w:rPr>
        <w:t>.</w:t>
      </w:r>
    </w:p>
  </w:footnote>
  <w:footnote w:id="21">
    <w:p w14:paraId="62E69BC0" w14:textId="3A0801D8" w:rsidR="00223DB3" w:rsidRDefault="00223DB3" w:rsidP="00CB560D">
      <w:pPr>
        <w:pStyle w:val="FootnoteText"/>
      </w:pPr>
      <w:r>
        <w:rPr>
          <w:rStyle w:val="FootnoteReference"/>
        </w:rPr>
        <w:footnoteRef/>
      </w:r>
      <w:r>
        <w:t xml:space="preserve"> </w:t>
      </w:r>
      <w:r w:rsidRPr="00CC6FCF">
        <w:t>Electricity Industry (Wholesale Electricity Market) Regulations 2004</w:t>
      </w:r>
      <w:r>
        <w:t xml:space="preserve">, </w:t>
      </w:r>
      <w:r w:rsidRPr="00666682">
        <w:rPr>
          <w:i/>
        </w:rPr>
        <w:t>Wholesale Electricity Market Rules</w:t>
      </w:r>
      <w:r>
        <w:t>, 30 March 2020, rules 3.11.6; 3.11.2.</w:t>
      </w:r>
    </w:p>
  </w:footnote>
  <w:footnote w:id="22">
    <w:p w14:paraId="43F1FD0D" w14:textId="55F3E884" w:rsidR="00223DB3" w:rsidRPr="00B07FB2" w:rsidRDefault="00223DB3" w:rsidP="00CB560D">
      <w:pPr>
        <w:pStyle w:val="FootnoteText"/>
        <w:rPr>
          <w:rFonts w:ascii="Arial" w:hAnsi="Arial" w:cs="Arial"/>
        </w:rPr>
      </w:pPr>
      <w:r w:rsidRPr="00B07FB2">
        <w:rPr>
          <w:rStyle w:val="FootnoteReference"/>
          <w:rFonts w:ascii="Arial" w:hAnsi="Arial" w:cs="Arial"/>
        </w:rPr>
        <w:footnoteRef/>
      </w:r>
      <w:r w:rsidRPr="00B07FB2">
        <w:rPr>
          <w:rFonts w:ascii="Arial" w:hAnsi="Arial" w:cs="Arial"/>
        </w:rPr>
        <w:t xml:space="preserve"> </w:t>
      </w:r>
      <w:r>
        <w:rPr>
          <w:rFonts w:asciiTheme="minorHAnsi" w:hAnsiTheme="minorHAnsi"/>
        </w:rPr>
        <w:t>Power and Water Corporation</w:t>
      </w:r>
      <w:r>
        <w:t xml:space="preserve"> 2020</w:t>
      </w:r>
      <w:r w:rsidRPr="00666682">
        <w:rPr>
          <w:i/>
        </w:rPr>
        <w:t>, System Control Technical Code Version No. 6</w:t>
      </w:r>
      <w:r>
        <w:t xml:space="preserve">, March, </w:t>
      </w:r>
      <w:r>
        <w:rPr>
          <w:rFonts w:ascii="Arial" w:hAnsi="Arial" w:cs="Arial"/>
        </w:rPr>
        <w:t>section 5.1.</w:t>
      </w:r>
    </w:p>
  </w:footnote>
  <w:footnote w:id="23">
    <w:p w14:paraId="3585AF92" w14:textId="092BFE67" w:rsidR="00223DB3" w:rsidRDefault="00223DB3" w:rsidP="00CB560D">
      <w:pPr>
        <w:pStyle w:val="FootnoteText"/>
      </w:pPr>
      <w:r w:rsidRPr="00B07FB2">
        <w:rPr>
          <w:rStyle w:val="FootnoteReference"/>
          <w:rFonts w:ascii="Arial" w:hAnsi="Arial" w:cs="Arial"/>
        </w:rPr>
        <w:footnoteRef/>
      </w:r>
      <w:r w:rsidRPr="00B07FB2">
        <w:rPr>
          <w:rFonts w:ascii="Arial" w:hAnsi="Arial" w:cs="Arial"/>
        </w:rPr>
        <w:t xml:space="preserve"> </w:t>
      </w:r>
      <w:r>
        <w:rPr>
          <w:rFonts w:asciiTheme="minorHAnsi" w:hAnsiTheme="minorHAnsi"/>
        </w:rPr>
        <w:t>Power and Water Corporation</w:t>
      </w:r>
      <w:r>
        <w:t xml:space="preserve"> 2020</w:t>
      </w:r>
      <w:r w:rsidRPr="00666682">
        <w:rPr>
          <w:i/>
        </w:rPr>
        <w:t>, System Control Technical Code Version No. 6</w:t>
      </w:r>
      <w:r>
        <w:t xml:space="preserve">, March, </w:t>
      </w:r>
      <w:r>
        <w:rPr>
          <w:rFonts w:ascii="Arial" w:hAnsi="Arial" w:cs="Arial"/>
        </w:rPr>
        <w:t>section 5.</w:t>
      </w:r>
    </w:p>
  </w:footnote>
  <w:footnote w:id="24">
    <w:p w14:paraId="547D752B" w14:textId="0DEED1F1" w:rsidR="00223DB3" w:rsidRDefault="00223DB3">
      <w:pPr>
        <w:pStyle w:val="FootnoteText"/>
      </w:pPr>
      <w:r>
        <w:rPr>
          <w:rStyle w:val="FootnoteReference"/>
        </w:rPr>
        <w:footnoteRef/>
      </w:r>
      <w:r>
        <w:t xml:space="preserve"> </w:t>
      </w:r>
      <w:r>
        <w:rPr>
          <w:rFonts w:asciiTheme="minorHAnsi" w:hAnsiTheme="minorHAnsi"/>
        </w:rPr>
        <w:t>Power and Water Corporation</w:t>
      </w:r>
      <w:r>
        <w:t xml:space="preserve"> 2020, </w:t>
      </w:r>
      <w:r w:rsidRPr="00666682">
        <w:rPr>
          <w:i/>
        </w:rPr>
        <w:t>System Control Technical Code Version No. 6</w:t>
      </w:r>
      <w:r>
        <w:t xml:space="preserve">, March, section </w:t>
      </w:r>
      <w:proofErr w:type="gramStart"/>
      <w:r>
        <w:t>A6.11(</w:t>
      </w:r>
      <w:proofErr w:type="gramEnd"/>
      <w:r>
        <w:t>b).</w:t>
      </w:r>
    </w:p>
  </w:footnote>
  <w:footnote w:id="25">
    <w:p w14:paraId="64AD3154" w14:textId="77CB5EDA" w:rsidR="00223DB3" w:rsidRDefault="00223DB3">
      <w:pPr>
        <w:pStyle w:val="FootnoteText"/>
      </w:pPr>
      <w:r>
        <w:rPr>
          <w:rStyle w:val="FootnoteReference"/>
        </w:rPr>
        <w:footnoteRef/>
      </w:r>
      <w:r>
        <w:t xml:space="preserve"> </w:t>
      </w:r>
      <w:r>
        <w:rPr>
          <w:rFonts w:asciiTheme="minorHAnsi" w:hAnsiTheme="minorHAnsi"/>
        </w:rPr>
        <w:t>Power and Water Corporation</w:t>
      </w:r>
      <w:r w:rsidRPr="00666682">
        <w:rPr>
          <w:rFonts w:asciiTheme="minorHAnsi" w:hAnsiTheme="minorHAnsi"/>
        </w:rPr>
        <w:t xml:space="preserve"> 2020, </w:t>
      </w:r>
      <w:r w:rsidRPr="00666682">
        <w:rPr>
          <w:rFonts w:asciiTheme="minorHAnsi" w:hAnsiTheme="minorHAnsi"/>
          <w:i/>
        </w:rPr>
        <w:t>Network Technical Code and Planning Criteria Version No. 4</w:t>
      </w:r>
      <w:r w:rsidRPr="00666682">
        <w:rPr>
          <w:rFonts w:asciiTheme="minorHAnsi" w:hAnsiTheme="minorHAnsi"/>
        </w:rPr>
        <w:t>,</w:t>
      </w:r>
      <w:r>
        <w:rPr>
          <w:rFonts w:asciiTheme="minorHAnsi" w:hAnsiTheme="minorHAnsi"/>
        </w:rPr>
        <w:t xml:space="preserve"> March, clauses 3.3.5.11, 3.3.5.15</w:t>
      </w:r>
      <w:r w:rsidRPr="00666682">
        <w:rPr>
          <w:rFonts w:asciiTheme="minorHAnsi" w:hAnsiTheme="minorHAnsi"/>
        </w:rPr>
        <w:t>.</w:t>
      </w:r>
    </w:p>
  </w:footnote>
  <w:footnote w:id="26">
    <w:p w14:paraId="634A53AE" w14:textId="77777777" w:rsidR="00223DB3" w:rsidRDefault="00223DB3">
      <w:pPr>
        <w:pStyle w:val="FootnoteText"/>
      </w:pPr>
      <w:r>
        <w:rPr>
          <w:rStyle w:val="FootnoteReference"/>
        </w:rPr>
        <w:footnoteRef/>
      </w:r>
      <w:r>
        <w:t xml:space="preserve"> Utilities Commission 2015, </w:t>
      </w:r>
      <w:r w:rsidRPr="008218E4">
        <w:rPr>
          <w:i/>
        </w:rPr>
        <w:t>Approval of Amendments to the System Control Technical Code</w:t>
      </w:r>
      <w:r>
        <w:t>, May.</w:t>
      </w:r>
    </w:p>
  </w:footnote>
  <w:footnote w:id="27">
    <w:p w14:paraId="35793731" w14:textId="0D6934F5" w:rsidR="00223DB3" w:rsidRDefault="00223DB3">
      <w:pPr>
        <w:pStyle w:val="FootnoteText"/>
      </w:pPr>
      <w:r>
        <w:rPr>
          <w:rStyle w:val="FootnoteReference"/>
        </w:rPr>
        <w:footnoteRef/>
      </w:r>
      <w:r>
        <w:t xml:space="preserve"> Utilities Commission 2020, </w:t>
      </w:r>
      <w:r w:rsidRPr="008218E4">
        <w:rPr>
          <w:i/>
        </w:rPr>
        <w:t>Generation licence application – RPS1101 Pty Ltd</w:t>
      </w:r>
      <w:r>
        <w:t xml:space="preserve">, </w:t>
      </w:r>
      <w:r w:rsidRPr="008218E4">
        <w:t>https://utilicom.nt.gov.au/projects/projects/Generation-licence-application-RPS1101-Pty-Ltd</w:t>
      </w:r>
      <w:r w:rsidR="009A52D5">
        <w:t xml:space="preserve"> (accessed 29 May</w:t>
      </w:r>
      <w:r>
        <w:t>).</w:t>
      </w:r>
    </w:p>
  </w:footnote>
  <w:footnote w:id="28">
    <w:p w14:paraId="06472BBF" w14:textId="5002BC31" w:rsidR="00223DB3" w:rsidRDefault="00223DB3">
      <w:pPr>
        <w:pStyle w:val="FootnoteText"/>
      </w:pPr>
      <w:r>
        <w:rPr>
          <w:rStyle w:val="FootnoteReference"/>
        </w:rPr>
        <w:footnoteRef/>
      </w:r>
      <w:r>
        <w:t xml:space="preserve"> Tasmanian Economic Regulator 2020, </w:t>
      </w:r>
      <w:r w:rsidRPr="009A52D5">
        <w:rPr>
          <w:i/>
        </w:rPr>
        <w:t>2010 Frequency Control Ancillary Services (FCAS) Investigation</w:t>
      </w:r>
      <w:r>
        <w:t xml:space="preserve">, </w:t>
      </w:r>
      <w:r w:rsidRPr="008218E4">
        <w:t>https://www.economicregulator.tas.gov.au/electricity/pricing/wholesale-pricing/frequency-control-ancillary-services-fcas/2010-frequency-control-ancillary-services-(fcas)-investigation</w:t>
      </w:r>
      <w:r>
        <w:t xml:space="preserve"> (accessed 1 June).</w:t>
      </w:r>
    </w:p>
  </w:footnote>
  <w:footnote w:id="29">
    <w:p w14:paraId="4EA3DBE3" w14:textId="69DA4412" w:rsidR="00223DB3" w:rsidRPr="0021322F" w:rsidRDefault="00223DB3">
      <w:pPr>
        <w:pStyle w:val="FootnoteText"/>
        <w:rPr>
          <w:rFonts w:asciiTheme="minorHAnsi" w:hAnsiTheme="minorHAnsi"/>
        </w:rPr>
      </w:pPr>
      <w:r>
        <w:rPr>
          <w:rStyle w:val="FootnoteReference"/>
        </w:rPr>
        <w:footnoteRef/>
      </w:r>
      <w:r>
        <w:t xml:space="preserve"> </w:t>
      </w:r>
      <w:r w:rsidRPr="0021322F">
        <w:rPr>
          <w:rFonts w:asciiTheme="minorHAnsi" w:hAnsiTheme="minorHAnsi"/>
        </w:rPr>
        <w:t xml:space="preserve">Power and Water Corporation 2020, </w:t>
      </w:r>
      <w:r w:rsidRPr="0021322F">
        <w:rPr>
          <w:rFonts w:asciiTheme="minorHAnsi" w:hAnsiTheme="minorHAnsi"/>
          <w:i/>
        </w:rPr>
        <w:t>Market-related network information</w:t>
      </w:r>
      <w:r w:rsidRPr="0021322F">
        <w:rPr>
          <w:rFonts w:asciiTheme="minorHAnsi" w:hAnsiTheme="minorHAnsi"/>
        </w:rPr>
        <w:t xml:space="preserve">, </w:t>
      </w:r>
      <w:r w:rsidRPr="009A52D5">
        <w:rPr>
          <w:rFonts w:asciiTheme="minorHAnsi" w:hAnsiTheme="minorHAnsi"/>
        </w:rPr>
        <w:t>https://www.powerwater.com.au/market-operator/market-related-network-information</w:t>
      </w:r>
      <w:r w:rsidRPr="0021322F">
        <w:rPr>
          <w:rFonts w:asciiTheme="minorHAnsi" w:hAnsiTheme="minorHAnsi"/>
        </w:rPr>
        <w:t xml:space="preserve"> (accessed 29 May).</w:t>
      </w:r>
    </w:p>
  </w:footnote>
  <w:footnote w:id="30">
    <w:p w14:paraId="7365E2CD" w14:textId="13FA8C54" w:rsidR="00223DB3" w:rsidRPr="00B07FB2" w:rsidRDefault="00223DB3" w:rsidP="00CB560D">
      <w:pPr>
        <w:pStyle w:val="FootnoteText"/>
        <w:rPr>
          <w:rFonts w:ascii="Arial" w:hAnsi="Arial" w:cs="Arial"/>
        </w:rPr>
      </w:pPr>
      <w:r w:rsidRPr="0021322F">
        <w:rPr>
          <w:rStyle w:val="FootnoteReference"/>
          <w:rFonts w:asciiTheme="minorHAnsi" w:hAnsiTheme="minorHAnsi" w:cs="Arial"/>
        </w:rPr>
        <w:footnoteRef/>
      </w:r>
      <w:r w:rsidRPr="0021322F">
        <w:rPr>
          <w:rFonts w:asciiTheme="minorHAnsi" w:hAnsiTheme="minorHAnsi" w:cs="Arial"/>
        </w:rPr>
        <w:t xml:space="preserve"> </w:t>
      </w:r>
      <w:r>
        <w:rPr>
          <w:rFonts w:asciiTheme="minorHAnsi" w:hAnsiTheme="minorHAnsi" w:cs="Arial"/>
        </w:rPr>
        <w:t>Australian Energy Market Operator</w:t>
      </w:r>
      <w:r w:rsidRPr="0021322F">
        <w:rPr>
          <w:rFonts w:asciiTheme="minorHAnsi" w:hAnsiTheme="minorHAnsi" w:cs="Arial"/>
        </w:rPr>
        <w:t xml:space="preserve"> 2020, </w:t>
      </w:r>
      <w:r w:rsidRPr="0021322F">
        <w:rPr>
          <w:rFonts w:asciiTheme="minorHAnsi" w:hAnsiTheme="minorHAnsi" w:cs="Arial"/>
          <w:i/>
        </w:rPr>
        <w:t>Settlements Guide to Ancillary Services Payment and Recove</w:t>
      </w:r>
      <w:r w:rsidRPr="0021322F">
        <w:rPr>
          <w:rFonts w:asciiTheme="minorHAnsi" w:hAnsiTheme="minorHAnsi" w:cs="Arial"/>
        </w:rPr>
        <w:t>ry, February.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739D0" w14:textId="77777777" w:rsidR="00223DB3" w:rsidRPr="008E0345" w:rsidRDefault="005B6973" w:rsidP="005A5A44">
    <w:pPr>
      <w:pStyle w:val="Header"/>
    </w:pPr>
    <w:sdt>
      <w:sdtPr>
        <w:alias w:val="Title"/>
        <w:tag w:val=""/>
        <w:id w:val="-477918894"/>
        <w:placeholder>
          <w:docPart w:val="F79D73C68A4748CDB3E427EE38EB82CB"/>
        </w:placeholder>
        <w:dataBinding w:prefixMappings="xmlns:ns0='http://purl.org/dc/elements/1.1/' xmlns:ns1='http://schemas.openxmlformats.org/package/2006/metadata/core-properties' " w:xpath="/ns1:coreProperties[1]/ns0:title[1]" w:storeItemID="{6C3C8BC8-F283-45AE-878A-BAB7291924A1}"/>
        <w:text/>
      </w:sdtPr>
      <w:sdtEndPr/>
      <w:sdtContent>
        <w:r w:rsidR="00223DB3">
          <w:t>Review of Essential System Services in the Northern Territory’s Regulated Electricity Systems</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5FEF3" w14:textId="77777777" w:rsidR="00223DB3" w:rsidRPr="00BD0F38" w:rsidRDefault="00223DB3" w:rsidP="00A32EFF">
    <w:pPr>
      <w:tabs>
        <w:tab w:val="right" w:pos="10318"/>
      </w:tabs>
    </w:pPr>
    <w:r w:rsidRPr="00BD0F38">
      <w:rPr>
        <w:noProof/>
        <w:lang w:eastAsia="en-AU"/>
      </w:rPr>
      <w:drawing>
        <wp:anchor distT="0" distB="0" distL="0" distR="0" simplePos="0" relativeHeight="251657216" behindDoc="0" locked="0" layoutInCell="1" allowOverlap="1" wp14:anchorId="26576116" wp14:editId="01345712">
          <wp:simplePos x="0" y="0"/>
          <wp:positionH relativeFrom="page">
            <wp:align>left</wp:align>
          </wp:positionH>
          <wp:positionV relativeFrom="page">
            <wp:posOffset>3393830</wp:posOffset>
          </wp:positionV>
          <wp:extent cx="7553130" cy="5448285"/>
          <wp:effectExtent l="0" t="0" r="0" b="635"/>
          <wp:wrapTopAndBottom/>
          <wp:docPr id="6" name="image4.p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130" cy="54482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46A68" w14:textId="77777777" w:rsidR="00223DB3" w:rsidRPr="004E7885" w:rsidRDefault="005B6973" w:rsidP="004E7885">
    <w:pPr>
      <w:pStyle w:val="Header"/>
    </w:pPr>
    <w:sdt>
      <w:sdtPr>
        <w:alias w:val="Title"/>
        <w:tag w:val="Title"/>
        <w:id w:val="94911156"/>
        <w:lock w:val="sdtLocked"/>
        <w:placeholder>
          <w:docPart w:val="F79D73C68A4748CDB3E427EE38EB82CB"/>
        </w:placeholder>
        <w:dataBinding w:prefixMappings="xmlns:ns0='http://purl.org/dc/elements/1.1/' xmlns:ns1='http://schemas.openxmlformats.org/package/2006/metadata/core-properties' " w:xpath="/ns1:coreProperties[1]/ns0:title[1]" w:storeItemID="{6C3C8BC8-F283-45AE-878A-BAB7291924A1}"/>
        <w15:color w:val="000000"/>
        <w:text/>
      </w:sdtPr>
      <w:sdtEndPr/>
      <w:sdtContent>
        <w:r w:rsidR="00223DB3">
          <w:t>Review of Essential System Services in the Northern Territory’s Regulated Electricity Systems</w:t>
        </w:r>
      </w:sdtContent>
    </w:sdt>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4622E" w14:textId="77777777" w:rsidR="00223DB3" w:rsidRPr="00274F1C" w:rsidRDefault="00223DB3" w:rsidP="004E7885">
    <w:pPr>
      <w:pStyle w:val="Header"/>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BD153" w14:textId="77777777" w:rsidR="0021322F" w:rsidRPr="004E7885" w:rsidRDefault="005B6973" w:rsidP="0021322F">
    <w:pPr>
      <w:pStyle w:val="Header"/>
    </w:pPr>
    <w:sdt>
      <w:sdtPr>
        <w:alias w:val="Title"/>
        <w:tag w:val="Title"/>
        <w:id w:val="1922908104"/>
        <w:placeholder>
          <w:docPart w:val="397569FDECFF4D6191EE0A495B4C095F"/>
        </w:placeholder>
        <w:dataBinding w:prefixMappings="xmlns:ns0='http://purl.org/dc/elements/1.1/' xmlns:ns1='http://schemas.openxmlformats.org/package/2006/metadata/core-properties' " w:xpath="/ns1:coreProperties[1]/ns0:title[1]" w:storeItemID="{6C3C8BC8-F283-45AE-878A-BAB7291924A1}"/>
        <w15:color w:val="000000"/>
        <w:text/>
      </w:sdtPr>
      <w:sdtEndPr/>
      <w:sdtContent>
        <w:r w:rsidR="0021322F">
          <w:t>Review of Essential System Services in the Northern Territory’s Regulated Electricity Systems</w:t>
        </w:r>
      </w:sdtContent>
    </w:sdt>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2130893165"/>
      <w:dataBinding w:prefixMappings="xmlns:ns0='http://purl.org/dc/elements/1.1/' xmlns:ns1='http://schemas.openxmlformats.org/package/2006/metadata/core-properties' " w:xpath="/ns1:coreProperties[1]/ns0:title[1]" w:storeItemID="{6C3C8BC8-F283-45AE-878A-BAB7291924A1}"/>
      <w:text/>
    </w:sdtPr>
    <w:sdtEndPr/>
    <w:sdtContent>
      <w:p w14:paraId="001AD70A" w14:textId="77777777" w:rsidR="00223DB3" w:rsidRPr="00964B22" w:rsidRDefault="00223DB3" w:rsidP="008E0345">
        <w:pPr>
          <w:pStyle w:val="Header"/>
          <w:rPr>
            <w:b/>
          </w:rPr>
        </w:pPr>
        <w:r>
          <w:t>Review of Essential System Services in the Northern Territory’s Regulated Electricity Systems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0251A49"/>
    <w:multiLevelType w:val="hybridMultilevel"/>
    <w:tmpl w:val="98AC6B7A"/>
    <w:lvl w:ilvl="0" w:tplc="08F021AE">
      <w:start w:val="1"/>
      <w:numFmt w:val="lowerLetter"/>
      <w:lvlText w:val="(%1)"/>
      <w:lvlJc w:val="left"/>
      <w:pPr>
        <w:ind w:left="360" w:hanging="360"/>
      </w:pPr>
      <w:rPr>
        <w:rFonts w:hint="default"/>
      </w:rPr>
    </w:lvl>
    <w:lvl w:ilvl="1" w:tplc="819CA050">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B26429D"/>
    <w:multiLevelType w:val="multilevel"/>
    <w:tmpl w:val="3E5E177A"/>
    <w:name w:val="NTG Table Bullet List33222222222"/>
    <w:numStyleLink w:val="Tablenumberlist"/>
  </w:abstractNum>
  <w:abstractNum w:abstractNumId="10" w15:restartNumberingAfterBreak="0">
    <w:nsid w:val="1B86276C"/>
    <w:multiLevelType w:val="multilevel"/>
    <w:tmpl w:val="3928FD02"/>
    <w:name w:val="NTG Table Bullet List32223"/>
    <w:numStyleLink w:val="Bulletlist"/>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207C7233"/>
    <w:multiLevelType w:val="hybridMultilevel"/>
    <w:tmpl w:val="9F5C0C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4" w15:restartNumberingAfterBreak="0">
    <w:nsid w:val="272E3F76"/>
    <w:multiLevelType w:val="multilevel"/>
    <w:tmpl w:val="3E5E177A"/>
    <w:name w:val="NTG Table Bullet List3322"/>
    <w:numStyleLink w:val="Tablenumberlist"/>
  </w:abstractNum>
  <w:abstractNum w:abstractNumId="15" w15:restartNumberingAfterBreak="0">
    <w:nsid w:val="27CE4608"/>
    <w:multiLevelType w:val="multilevel"/>
    <w:tmpl w:val="3E5E177A"/>
    <w:name w:val="NTG Table Bullet List33222"/>
    <w:numStyleLink w:val="Tablenumberlist"/>
  </w:abstractNum>
  <w:abstractNum w:abstractNumId="16" w15:restartNumberingAfterBreak="0">
    <w:nsid w:val="27D83E4D"/>
    <w:multiLevelType w:val="multilevel"/>
    <w:tmpl w:val="3928FD02"/>
    <w:numStyleLink w:val="Bulletlist"/>
  </w:abstractNum>
  <w:abstractNum w:abstractNumId="17" w15:restartNumberingAfterBreak="0">
    <w:nsid w:val="2B006286"/>
    <w:multiLevelType w:val="hybridMultilevel"/>
    <w:tmpl w:val="F4BED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9" w15:restartNumberingAfterBreak="0">
    <w:nsid w:val="2E693641"/>
    <w:multiLevelType w:val="multilevel"/>
    <w:tmpl w:val="3E5E177A"/>
    <w:name w:val="NTG Table Bullet List33"/>
    <w:numStyleLink w:val="Tablenumberlist"/>
  </w:abstractNum>
  <w:abstractNum w:abstractNumId="20" w15:restartNumberingAfterBreak="0">
    <w:nsid w:val="2EF077BC"/>
    <w:multiLevelType w:val="multilevel"/>
    <w:tmpl w:val="0C78A7AC"/>
    <w:name w:val="NTG Table Bullet List33222222222222222222"/>
    <w:numStyleLink w:val="Tablebulletlist"/>
  </w:abstractNum>
  <w:abstractNum w:abstractNumId="21" w15:restartNumberingAfterBreak="0">
    <w:nsid w:val="32871556"/>
    <w:multiLevelType w:val="hybridMultilevel"/>
    <w:tmpl w:val="98AC6B7A"/>
    <w:lvl w:ilvl="0" w:tplc="08F021AE">
      <w:start w:val="1"/>
      <w:numFmt w:val="lowerLetter"/>
      <w:lvlText w:val="(%1)"/>
      <w:lvlJc w:val="left"/>
      <w:pPr>
        <w:ind w:left="360" w:hanging="360"/>
      </w:pPr>
      <w:rPr>
        <w:rFonts w:hint="default"/>
      </w:rPr>
    </w:lvl>
    <w:lvl w:ilvl="1" w:tplc="819CA050">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2DF44DA"/>
    <w:multiLevelType w:val="multilevel"/>
    <w:tmpl w:val="3E5E177A"/>
    <w:name w:val="NTG Table Bullet List3222323"/>
    <w:numStyleLink w:val="Tablenumberlist"/>
  </w:abstractNum>
  <w:abstractNum w:abstractNumId="2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4" w15:restartNumberingAfterBreak="0">
    <w:nsid w:val="36B27B1E"/>
    <w:multiLevelType w:val="hybridMultilevel"/>
    <w:tmpl w:val="98AC6B7A"/>
    <w:lvl w:ilvl="0" w:tplc="08F021AE">
      <w:start w:val="1"/>
      <w:numFmt w:val="lowerLetter"/>
      <w:lvlText w:val="(%1)"/>
      <w:lvlJc w:val="left"/>
      <w:pPr>
        <w:ind w:left="360" w:hanging="360"/>
      </w:pPr>
      <w:rPr>
        <w:rFonts w:hint="default"/>
      </w:rPr>
    </w:lvl>
    <w:lvl w:ilvl="1" w:tplc="819CA050">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7CC4670"/>
    <w:multiLevelType w:val="hybridMultilevel"/>
    <w:tmpl w:val="98AC6B7A"/>
    <w:lvl w:ilvl="0" w:tplc="08F021AE">
      <w:start w:val="1"/>
      <w:numFmt w:val="lowerLetter"/>
      <w:lvlText w:val="(%1)"/>
      <w:lvlJc w:val="left"/>
      <w:pPr>
        <w:ind w:left="360" w:hanging="360"/>
      </w:pPr>
      <w:rPr>
        <w:rFonts w:hint="default"/>
      </w:rPr>
    </w:lvl>
    <w:lvl w:ilvl="1" w:tplc="819CA050">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3BE61945"/>
    <w:multiLevelType w:val="multilevel"/>
    <w:tmpl w:val="3928FD02"/>
    <w:name w:val="NTG Table Bullet List332222222222222222"/>
    <w:numStyleLink w:val="Bulletlist"/>
  </w:abstractNum>
  <w:abstractNum w:abstractNumId="28" w15:restartNumberingAfterBreak="0">
    <w:nsid w:val="422243F1"/>
    <w:multiLevelType w:val="hybridMultilevel"/>
    <w:tmpl w:val="75A0F8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9FD3A20"/>
    <w:multiLevelType w:val="multilevel"/>
    <w:tmpl w:val="3E5E177A"/>
    <w:name w:val="NTG Table Bullet List3322222222222"/>
    <w:numStyleLink w:val="Tablenumberlist"/>
  </w:abstractNum>
  <w:abstractNum w:abstractNumId="30" w15:restartNumberingAfterBreak="0">
    <w:nsid w:val="4B013342"/>
    <w:multiLevelType w:val="hybridMultilevel"/>
    <w:tmpl w:val="764E01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2"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3" w15:restartNumberingAfterBreak="0">
    <w:nsid w:val="4E3A4010"/>
    <w:multiLevelType w:val="hybridMultilevel"/>
    <w:tmpl w:val="B84495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02861AE"/>
    <w:multiLevelType w:val="hybridMultilevel"/>
    <w:tmpl w:val="98AC6B7A"/>
    <w:lvl w:ilvl="0" w:tplc="08F021AE">
      <w:start w:val="1"/>
      <w:numFmt w:val="lowerLetter"/>
      <w:lvlText w:val="(%1)"/>
      <w:lvlJc w:val="left"/>
      <w:pPr>
        <w:ind w:left="360" w:hanging="360"/>
      </w:pPr>
      <w:rPr>
        <w:rFonts w:hint="default"/>
      </w:rPr>
    </w:lvl>
    <w:lvl w:ilvl="1" w:tplc="819CA050">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3842BC6"/>
    <w:multiLevelType w:val="multilevel"/>
    <w:tmpl w:val="0C78A7AC"/>
    <w:numStyleLink w:val="Tablebulletlist"/>
  </w:abstractNum>
  <w:abstractNum w:abstractNumId="36"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7" w15:restartNumberingAfterBreak="0">
    <w:nsid w:val="56DA2CAE"/>
    <w:multiLevelType w:val="multilevel"/>
    <w:tmpl w:val="3E5E177A"/>
    <w:name w:val="NTG Table Bullet List332222222222222"/>
    <w:numStyleLink w:val="Tablenumberlist"/>
  </w:abstractNum>
  <w:abstractNum w:abstractNumId="38" w15:restartNumberingAfterBreak="0">
    <w:nsid w:val="583359D9"/>
    <w:multiLevelType w:val="multilevel"/>
    <w:tmpl w:val="3E5E177A"/>
    <w:name w:val="NTG Table Bullet List332222222"/>
    <w:numStyleLink w:val="Tablenumberlist"/>
  </w:abstractNum>
  <w:abstractNum w:abstractNumId="39" w15:restartNumberingAfterBreak="0">
    <w:nsid w:val="5B9A5FFE"/>
    <w:multiLevelType w:val="multilevel"/>
    <w:tmpl w:val="0C78A7AC"/>
    <w:name w:val="NTG Table Bullet List33222222222222"/>
    <w:numStyleLink w:val="Tablebulletlist"/>
  </w:abstractNum>
  <w:abstractNum w:abstractNumId="40" w15:restartNumberingAfterBreak="0">
    <w:nsid w:val="5B9B1D60"/>
    <w:multiLevelType w:val="multilevel"/>
    <w:tmpl w:val="6A32939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5D444259"/>
    <w:multiLevelType w:val="multilevel"/>
    <w:tmpl w:val="0C78A7AC"/>
    <w:name w:val="NTG Table Bullet List332222"/>
    <w:numStyleLink w:val="Tablebulletlist"/>
  </w:abstractNum>
  <w:abstractNum w:abstractNumId="42" w15:restartNumberingAfterBreak="0">
    <w:nsid w:val="625F1E81"/>
    <w:multiLevelType w:val="hybridMultilevel"/>
    <w:tmpl w:val="07F6A5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3A86AC1"/>
    <w:multiLevelType w:val="hybridMultilevel"/>
    <w:tmpl w:val="955446DC"/>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4" w15:restartNumberingAfterBreak="0">
    <w:nsid w:val="662C6315"/>
    <w:multiLevelType w:val="hybridMultilevel"/>
    <w:tmpl w:val="D29AD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9262556"/>
    <w:multiLevelType w:val="multilevel"/>
    <w:tmpl w:val="3E5E177A"/>
    <w:name w:val="NTG Table Bullet List3322222222222222"/>
    <w:numStyleLink w:val="Tablenumberlist"/>
  </w:abstractNum>
  <w:abstractNum w:abstractNumId="46" w15:restartNumberingAfterBreak="0">
    <w:nsid w:val="6C025C89"/>
    <w:multiLevelType w:val="hybridMultilevel"/>
    <w:tmpl w:val="98AC6B7A"/>
    <w:lvl w:ilvl="0" w:tplc="08F021AE">
      <w:start w:val="1"/>
      <w:numFmt w:val="lowerLetter"/>
      <w:lvlText w:val="(%1)"/>
      <w:lvlJc w:val="left"/>
      <w:pPr>
        <w:ind w:left="360" w:hanging="360"/>
      </w:pPr>
      <w:rPr>
        <w:rFonts w:hint="default"/>
      </w:rPr>
    </w:lvl>
    <w:lvl w:ilvl="1" w:tplc="819CA050">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6D0B0A22"/>
    <w:multiLevelType w:val="hybridMultilevel"/>
    <w:tmpl w:val="98AC6B7A"/>
    <w:lvl w:ilvl="0" w:tplc="08F021AE">
      <w:start w:val="1"/>
      <w:numFmt w:val="lowerLetter"/>
      <w:lvlText w:val="(%1)"/>
      <w:lvlJc w:val="left"/>
      <w:pPr>
        <w:ind w:left="360" w:hanging="360"/>
      </w:pPr>
      <w:rPr>
        <w:rFonts w:hint="default"/>
      </w:rPr>
    </w:lvl>
    <w:lvl w:ilvl="1" w:tplc="819CA050">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7453664D"/>
    <w:multiLevelType w:val="multilevel"/>
    <w:tmpl w:val="0C78A7AC"/>
    <w:name w:val="NTG Table Bullet List3322222222222222222"/>
    <w:numStyleLink w:val="Tablebulletlist"/>
  </w:abstractNum>
  <w:abstractNum w:abstractNumId="49" w15:restartNumberingAfterBreak="0">
    <w:nsid w:val="76141D1E"/>
    <w:multiLevelType w:val="multilevel"/>
    <w:tmpl w:val="0C78A7AC"/>
    <w:name w:val="NTG Table Bullet List332222222222"/>
    <w:numStyleLink w:val="Tablebulletlist"/>
  </w:abstractNum>
  <w:abstractNum w:abstractNumId="50" w15:restartNumberingAfterBreak="0">
    <w:nsid w:val="7812171C"/>
    <w:multiLevelType w:val="multilevel"/>
    <w:tmpl w:val="6A32939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79CC6470"/>
    <w:multiLevelType w:val="multilevel"/>
    <w:tmpl w:val="CB32F200"/>
    <w:lvl w:ilvl="0">
      <w:start w:val="1"/>
      <w:numFmt w:val="decimal"/>
      <w:pStyle w:val="Heading1"/>
      <w:suff w:val="space"/>
      <w:lvlText w:val="%1."/>
      <w:lvlJc w:val="left"/>
      <w:pPr>
        <w:ind w:left="432" w:hanging="432"/>
      </w:pPr>
      <w:rPr>
        <w:rFonts w:hint="default"/>
        <w:b w:val="0"/>
        <w:i w:val="0"/>
      </w:rPr>
    </w:lvl>
    <w:lvl w:ilvl="1">
      <w:start w:val="1"/>
      <w:numFmt w:val="decimal"/>
      <w:pStyle w:val="Heading2"/>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52"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3"/>
  </w:num>
  <w:num w:numId="2">
    <w:abstractNumId w:val="13"/>
  </w:num>
  <w:num w:numId="3">
    <w:abstractNumId w:val="51"/>
  </w:num>
  <w:num w:numId="4">
    <w:abstractNumId w:val="31"/>
  </w:num>
  <w:num w:numId="5">
    <w:abstractNumId w:val="18"/>
  </w:num>
  <w:num w:numId="6">
    <w:abstractNumId w:val="8"/>
  </w:num>
  <w:num w:numId="7">
    <w:abstractNumId w:val="35"/>
  </w:num>
  <w:num w:numId="8">
    <w:abstractNumId w:val="16"/>
  </w:num>
  <w:num w:numId="9">
    <w:abstractNumId w:val="25"/>
  </w:num>
  <w:num w:numId="10">
    <w:abstractNumId w:val="40"/>
  </w:num>
  <w:num w:numId="11">
    <w:abstractNumId w:val="30"/>
  </w:num>
  <w:num w:numId="12">
    <w:abstractNumId w:val="12"/>
  </w:num>
  <w:num w:numId="13">
    <w:abstractNumId w:val="42"/>
  </w:num>
  <w:num w:numId="14">
    <w:abstractNumId w:val="44"/>
  </w:num>
  <w:num w:numId="15">
    <w:abstractNumId w:val="21"/>
  </w:num>
  <w:num w:numId="16">
    <w:abstractNumId w:val="28"/>
  </w:num>
  <w:num w:numId="17">
    <w:abstractNumId w:val="4"/>
  </w:num>
  <w:num w:numId="18">
    <w:abstractNumId w:val="26"/>
  </w:num>
  <w:num w:numId="19">
    <w:abstractNumId w:val="47"/>
  </w:num>
  <w:num w:numId="20">
    <w:abstractNumId w:val="34"/>
  </w:num>
  <w:num w:numId="21">
    <w:abstractNumId w:val="24"/>
  </w:num>
  <w:num w:numId="22">
    <w:abstractNumId w:val="50"/>
  </w:num>
  <w:num w:numId="23">
    <w:abstractNumId w:val="51"/>
  </w:num>
  <w:num w:numId="24">
    <w:abstractNumId w:val="51"/>
  </w:num>
  <w:num w:numId="25">
    <w:abstractNumId w:val="51"/>
  </w:num>
  <w:num w:numId="26">
    <w:abstractNumId w:val="51"/>
  </w:num>
  <w:num w:numId="27">
    <w:abstractNumId w:val="51"/>
  </w:num>
  <w:num w:numId="28">
    <w:abstractNumId w:val="51"/>
  </w:num>
  <w:num w:numId="29">
    <w:abstractNumId w:val="17"/>
  </w:num>
  <w:num w:numId="30">
    <w:abstractNumId w:val="46"/>
  </w:num>
  <w:num w:numId="31">
    <w:abstractNumId w:val="43"/>
  </w:num>
  <w:num w:numId="32">
    <w:abstractNumId w:val="33"/>
  </w:num>
  <w:num w:numId="33">
    <w:abstractNumId w:val="5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A2B"/>
    <w:rsid w:val="00001DDF"/>
    <w:rsid w:val="0000322D"/>
    <w:rsid w:val="00007670"/>
    <w:rsid w:val="00010665"/>
    <w:rsid w:val="00020474"/>
    <w:rsid w:val="000238B4"/>
    <w:rsid w:val="0002393A"/>
    <w:rsid w:val="00027DB8"/>
    <w:rsid w:val="000307A7"/>
    <w:rsid w:val="00031A96"/>
    <w:rsid w:val="00034A8D"/>
    <w:rsid w:val="00040BF3"/>
    <w:rsid w:val="00043A85"/>
    <w:rsid w:val="000448B0"/>
    <w:rsid w:val="0004562E"/>
    <w:rsid w:val="00046C59"/>
    <w:rsid w:val="00050358"/>
    <w:rsid w:val="00051362"/>
    <w:rsid w:val="00051F45"/>
    <w:rsid w:val="00052953"/>
    <w:rsid w:val="0005341A"/>
    <w:rsid w:val="00056570"/>
    <w:rsid w:val="00056DEF"/>
    <w:rsid w:val="00060FD6"/>
    <w:rsid w:val="00061868"/>
    <w:rsid w:val="000720BE"/>
    <w:rsid w:val="0007259C"/>
    <w:rsid w:val="00080202"/>
    <w:rsid w:val="00080DCD"/>
    <w:rsid w:val="00080E22"/>
    <w:rsid w:val="00082573"/>
    <w:rsid w:val="000840A3"/>
    <w:rsid w:val="00085062"/>
    <w:rsid w:val="00086A5F"/>
    <w:rsid w:val="0009119B"/>
    <w:rsid w:val="000911EF"/>
    <w:rsid w:val="000933B1"/>
    <w:rsid w:val="000962C5"/>
    <w:rsid w:val="000A4317"/>
    <w:rsid w:val="000A44F5"/>
    <w:rsid w:val="000A559C"/>
    <w:rsid w:val="000A6136"/>
    <w:rsid w:val="000B1C14"/>
    <w:rsid w:val="000B280D"/>
    <w:rsid w:val="000B2CA1"/>
    <w:rsid w:val="000B605F"/>
    <w:rsid w:val="000B6E48"/>
    <w:rsid w:val="000D1F29"/>
    <w:rsid w:val="000D4B46"/>
    <w:rsid w:val="000D53A6"/>
    <w:rsid w:val="000D633D"/>
    <w:rsid w:val="000E0962"/>
    <w:rsid w:val="000E342B"/>
    <w:rsid w:val="000E38FB"/>
    <w:rsid w:val="000E5DD2"/>
    <w:rsid w:val="000F2958"/>
    <w:rsid w:val="000F4805"/>
    <w:rsid w:val="00104E7F"/>
    <w:rsid w:val="001137EC"/>
    <w:rsid w:val="001152F5"/>
    <w:rsid w:val="00117743"/>
    <w:rsid w:val="001179DA"/>
    <w:rsid w:val="00117F5B"/>
    <w:rsid w:val="0012645B"/>
    <w:rsid w:val="001270C5"/>
    <w:rsid w:val="00127E81"/>
    <w:rsid w:val="00130F87"/>
    <w:rsid w:val="00132658"/>
    <w:rsid w:val="00136A02"/>
    <w:rsid w:val="00145144"/>
    <w:rsid w:val="00146454"/>
    <w:rsid w:val="00147DED"/>
    <w:rsid w:val="00150DC0"/>
    <w:rsid w:val="001535CC"/>
    <w:rsid w:val="00156CD4"/>
    <w:rsid w:val="00161CC6"/>
    <w:rsid w:val="00164A3E"/>
    <w:rsid w:val="00166FF6"/>
    <w:rsid w:val="00170598"/>
    <w:rsid w:val="00172C77"/>
    <w:rsid w:val="00176123"/>
    <w:rsid w:val="00181620"/>
    <w:rsid w:val="00185A3F"/>
    <w:rsid w:val="001957AD"/>
    <w:rsid w:val="00196114"/>
    <w:rsid w:val="001A1889"/>
    <w:rsid w:val="001A2B7F"/>
    <w:rsid w:val="001A3AFD"/>
    <w:rsid w:val="001A496C"/>
    <w:rsid w:val="001A6304"/>
    <w:rsid w:val="001B2B6C"/>
    <w:rsid w:val="001B2FB8"/>
    <w:rsid w:val="001B41E5"/>
    <w:rsid w:val="001C1FB4"/>
    <w:rsid w:val="001D01C4"/>
    <w:rsid w:val="001D04C0"/>
    <w:rsid w:val="001D52B0"/>
    <w:rsid w:val="001D5A18"/>
    <w:rsid w:val="001D5C9C"/>
    <w:rsid w:val="001D7CA4"/>
    <w:rsid w:val="001E057F"/>
    <w:rsid w:val="001E14EB"/>
    <w:rsid w:val="001E1D4D"/>
    <w:rsid w:val="001E2586"/>
    <w:rsid w:val="001E6B97"/>
    <w:rsid w:val="001F2B3D"/>
    <w:rsid w:val="001F501A"/>
    <w:rsid w:val="001F59E6"/>
    <w:rsid w:val="001F7E15"/>
    <w:rsid w:val="00202014"/>
    <w:rsid w:val="00202A2B"/>
    <w:rsid w:val="00206936"/>
    <w:rsid w:val="00206C6F"/>
    <w:rsid w:val="00206FBD"/>
    <w:rsid w:val="00207746"/>
    <w:rsid w:val="0021322F"/>
    <w:rsid w:val="002138FD"/>
    <w:rsid w:val="00221220"/>
    <w:rsid w:val="00222483"/>
    <w:rsid w:val="00222E58"/>
    <w:rsid w:val="00223DB3"/>
    <w:rsid w:val="00230031"/>
    <w:rsid w:val="00235C01"/>
    <w:rsid w:val="002364A9"/>
    <w:rsid w:val="00236878"/>
    <w:rsid w:val="00237AC3"/>
    <w:rsid w:val="002458C7"/>
    <w:rsid w:val="00247343"/>
    <w:rsid w:val="00247538"/>
    <w:rsid w:val="00264C90"/>
    <w:rsid w:val="00265C56"/>
    <w:rsid w:val="002716CD"/>
    <w:rsid w:val="00272232"/>
    <w:rsid w:val="00274D4B"/>
    <w:rsid w:val="00275A79"/>
    <w:rsid w:val="002806F5"/>
    <w:rsid w:val="00281577"/>
    <w:rsid w:val="002832ED"/>
    <w:rsid w:val="002926BC"/>
    <w:rsid w:val="00293A72"/>
    <w:rsid w:val="002A0160"/>
    <w:rsid w:val="002A30C3"/>
    <w:rsid w:val="002A6F6A"/>
    <w:rsid w:val="002A7712"/>
    <w:rsid w:val="002B37B5"/>
    <w:rsid w:val="002B38F7"/>
    <w:rsid w:val="002B4C0D"/>
    <w:rsid w:val="002B5591"/>
    <w:rsid w:val="002B6A6C"/>
    <w:rsid w:val="002B6AA4"/>
    <w:rsid w:val="002B743A"/>
    <w:rsid w:val="002C1761"/>
    <w:rsid w:val="002C1FE9"/>
    <w:rsid w:val="002C2CFC"/>
    <w:rsid w:val="002D2FD2"/>
    <w:rsid w:val="002D3A57"/>
    <w:rsid w:val="002D6965"/>
    <w:rsid w:val="002D7D05"/>
    <w:rsid w:val="002E20C8"/>
    <w:rsid w:val="002E3C79"/>
    <w:rsid w:val="002E4290"/>
    <w:rsid w:val="002E5B94"/>
    <w:rsid w:val="002E66A6"/>
    <w:rsid w:val="002F0DB1"/>
    <w:rsid w:val="002F2885"/>
    <w:rsid w:val="002F3CF1"/>
    <w:rsid w:val="002F45A1"/>
    <w:rsid w:val="002F64A1"/>
    <w:rsid w:val="00302CB3"/>
    <w:rsid w:val="003037F9"/>
    <w:rsid w:val="00305362"/>
    <w:rsid w:val="0030583E"/>
    <w:rsid w:val="00307FE1"/>
    <w:rsid w:val="00312857"/>
    <w:rsid w:val="00313361"/>
    <w:rsid w:val="003164BA"/>
    <w:rsid w:val="00320A0D"/>
    <w:rsid w:val="003216EA"/>
    <w:rsid w:val="003223FE"/>
    <w:rsid w:val="003250B6"/>
    <w:rsid w:val="003258E6"/>
    <w:rsid w:val="00326298"/>
    <w:rsid w:val="00326E35"/>
    <w:rsid w:val="00330F3E"/>
    <w:rsid w:val="003310FE"/>
    <w:rsid w:val="003324A4"/>
    <w:rsid w:val="0033487B"/>
    <w:rsid w:val="00336CE3"/>
    <w:rsid w:val="00342283"/>
    <w:rsid w:val="00343A87"/>
    <w:rsid w:val="00344A36"/>
    <w:rsid w:val="003456F4"/>
    <w:rsid w:val="00345BDC"/>
    <w:rsid w:val="00347FB6"/>
    <w:rsid w:val="003504FD"/>
    <w:rsid w:val="00350881"/>
    <w:rsid w:val="0035255F"/>
    <w:rsid w:val="00355D8D"/>
    <w:rsid w:val="00357D55"/>
    <w:rsid w:val="00363513"/>
    <w:rsid w:val="003657E5"/>
    <w:rsid w:val="0036589C"/>
    <w:rsid w:val="00370AD9"/>
    <w:rsid w:val="00371312"/>
    <w:rsid w:val="00371DC7"/>
    <w:rsid w:val="003765C6"/>
    <w:rsid w:val="00376BF0"/>
    <w:rsid w:val="00377B21"/>
    <w:rsid w:val="00381443"/>
    <w:rsid w:val="00384855"/>
    <w:rsid w:val="00384A16"/>
    <w:rsid w:val="00390CE3"/>
    <w:rsid w:val="003944DB"/>
    <w:rsid w:val="00394876"/>
    <w:rsid w:val="00394AAF"/>
    <w:rsid w:val="00394CE5"/>
    <w:rsid w:val="003A6341"/>
    <w:rsid w:val="003B0B44"/>
    <w:rsid w:val="003B173F"/>
    <w:rsid w:val="003B21C2"/>
    <w:rsid w:val="003B27A6"/>
    <w:rsid w:val="003B67FD"/>
    <w:rsid w:val="003B6A61"/>
    <w:rsid w:val="003B7873"/>
    <w:rsid w:val="003B79B3"/>
    <w:rsid w:val="003D2E5E"/>
    <w:rsid w:val="003D3850"/>
    <w:rsid w:val="003D42C0"/>
    <w:rsid w:val="003D5B29"/>
    <w:rsid w:val="003D7818"/>
    <w:rsid w:val="003E215B"/>
    <w:rsid w:val="003E2445"/>
    <w:rsid w:val="003E2498"/>
    <w:rsid w:val="003E319D"/>
    <w:rsid w:val="003E3BB2"/>
    <w:rsid w:val="003E3CDF"/>
    <w:rsid w:val="003F5B58"/>
    <w:rsid w:val="003F61A2"/>
    <w:rsid w:val="00401755"/>
    <w:rsid w:val="0040222A"/>
    <w:rsid w:val="004047BC"/>
    <w:rsid w:val="00406497"/>
    <w:rsid w:val="00407CFD"/>
    <w:rsid w:val="004100F7"/>
    <w:rsid w:val="00412503"/>
    <w:rsid w:val="00414CB3"/>
    <w:rsid w:val="0041563D"/>
    <w:rsid w:val="00417E19"/>
    <w:rsid w:val="00420CF5"/>
    <w:rsid w:val="00422874"/>
    <w:rsid w:val="00426E25"/>
    <w:rsid w:val="00427D9C"/>
    <w:rsid w:val="00427E7E"/>
    <w:rsid w:val="004433AE"/>
    <w:rsid w:val="00443B6E"/>
    <w:rsid w:val="00447C2F"/>
    <w:rsid w:val="0045103C"/>
    <w:rsid w:val="004521CB"/>
    <w:rsid w:val="00453288"/>
    <w:rsid w:val="0045420A"/>
    <w:rsid w:val="004554D4"/>
    <w:rsid w:val="00455903"/>
    <w:rsid w:val="00460F8F"/>
    <w:rsid w:val="004614F1"/>
    <w:rsid w:val="00461744"/>
    <w:rsid w:val="00461C79"/>
    <w:rsid w:val="00466185"/>
    <w:rsid w:val="004664AD"/>
    <w:rsid w:val="004668A7"/>
    <w:rsid w:val="00466D96"/>
    <w:rsid w:val="00467747"/>
    <w:rsid w:val="00473C98"/>
    <w:rsid w:val="00474965"/>
    <w:rsid w:val="00482DF8"/>
    <w:rsid w:val="00483E56"/>
    <w:rsid w:val="004864DE"/>
    <w:rsid w:val="0049274B"/>
    <w:rsid w:val="00494BE5"/>
    <w:rsid w:val="004952FD"/>
    <w:rsid w:val="0049588B"/>
    <w:rsid w:val="004A00EE"/>
    <w:rsid w:val="004A0EBA"/>
    <w:rsid w:val="004A2538"/>
    <w:rsid w:val="004B0C15"/>
    <w:rsid w:val="004B35EA"/>
    <w:rsid w:val="004B69E4"/>
    <w:rsid w:val="004B7373"/>
    <w:rsid w:val="004C2BF4"/>
    <w:rsid w:val="004C32B1"/>
    <w:rsid w:val="004C5A9A"/>
    <w:rsid w:val="004C6C39"/>
    <w:rsid w:val="004D075F"/>
    <w:rsid w:val="004D1B76"/>
    <w:rsid w:val="004D344E"/>
    <w:rsid w:val="004E019E"/>
    <w:rsid w:val="004E06EC"/>
    <w:rsid w:val="004E0FD7"/>
    <w:rsid w:val="004E2CB7"/>
    <w:rsid w:val="004E31D1"/>
    <w:rsid w:val="004E7885"/>
    <w:rsid w:val="004F016A"/>
    <w:rsid w:val="004F01CC"/>
    <w:rsid w:val="004F2206"/>
    <w:rsid w:val="004F29FC"/>
    <w:rsid w:val="00500F94"/>
    <w:rsid w:val="00502FB3"/>
    <w:rsid w:val="00503CEB"/>
    <w:rsid w:val="00503DE9"/>
    <w:rsid w:val="0050530C"/>
    <w:rsid w:val="00505DEA"/>
    <w:rsid w:val="0050691A"/>
    <w:rsid w:val="00507782"/>
    <w:rsid w:val="00511C43"/>
    <w:rsid w:val="00512A04"/>
    <w:rsid w:val="00513E2C"/>
    <w:rsid w:val="005158FB"/>
    <w:rsid w:val="00515BBE"/>
    <w:rsid w:val="00516232"/>
    <w:rsid w:val="005249F5"/>
    <w:rsid w:val="005250B2"/>
    <w:rsid w:val="005260F7"/>
    <w:rsid w:val="00542685"/>
    <w:rsid w:val="005428F8"/>
    <w:rsid w:val="00543BD1"/>
    <w:rsid w:val="00546D7E"/>
    <w:rsid w:val="005558B7"/>
    <w:rsid w:val="00556113"/>
    <w:rsid w:val="0056208B"/>
    <w:rsid w:val="00564C12"/>
    <w:rsid w:val="005654B8"/>
    <w:rsid w:val="0056586C"/>
    <w:rsid w:val="00570E55"/>
    <w:rsid w:val="005715AA"/>
    <w:rsid w:val="0057377F"/>
    <w:rsid w:val="005762CC"/>
    <w:rsid w:val="00576CFE"/>
    <w:rsid w:val="00582D3D"/>
    <w:rsid w:val="00582D40"/>
    <w:rsid w:val="00583889"/>
    <w:rsid w:val="00595386"/>
    <w:rsid w:val="005953B0"/>
    <w:rsid w:val="005A3621"/>
    <w:rsid w:val="005A4AC0"/>
    <w:rsid w:val="005A5A44"/>
    <w:rsid w:val="005A5FDF"/>
    <w:rsid w:val="005A6416"/>
    <w:rsid w:val="005B0FB7"/>
    <w:rsid w:val="005B122A"/>
    <w:rsid w:val="005B4776"/>
    <w:rsid w:val="005B5AC2"/>
    <w:rsid w:val="005B6075"/>
    <w:rsid w:val="005B6973"/>
    <w:rsid w:val="005C1BEF"/>
    <w:rsid w:val="005C2833"/>
    <w:rsid w:val="005C4BB4"/>
    <w:rsid w:val="005C6F57"/>
    <w:rsid w:val="005C76D3"/>
    <w:rsid w:val="005E144D"/>
    <w:rsid w:val="005E1500"/>
    <w:rsid w:val="005E3A43"/>
    <w:rsid w:val="005E51A4"/>
    <w:rsid w:val="005E79A0"/>
    <w:rsid w:val="005F331E"/>
    <w:rsid w:val="005F67BC"/>
    <w:rsid w:val="005F77C7"/>
    <w:rsid w:val="00611F6D"/>
    <w:rsid w:val="00620675"/>
    <w:rsid w:val="00622910"/>
    <w:rsid w:val="00622E24"/>
    <w:rsid w:val="006234EF"/>
    <w:rsid w:val="00634F85"/>
    <w:rsid w:val="006430D7"/>
    <w:rsid w:val="006433C3"/>
    <w:rsid w:val="00647669"/>
    <w:rsid w:val="00647A30"/>
    <w:rsid w:val="00650F5B"/>
    <w:rsid w:val="006514DC"/>
    <w:rsid w:val="00652DC0"/>
    <w:rsid w:val="0065773E"/>
    <w:rsid w:val="00660584"/>
    <w:rsid w:val="00660DDB"/>
    <w:rsid w:val="006670D7"/>
    <w:rsid w:val="00667797"/>
    <w:rsid w:val="006719EA"/>
    <w:rsid w:val="00671F13"/>
    <w:rsid w:val="0067400A"/>
    <w:rsid w:val="006747E0"/>
    <w:rsid w:val="00677A77"/>
    <w:rsid w:val="00683346"/>
    <w:rsid w:val="006847AD"/>
    <w:rsid w:val="0069114B"/>
    <w:rsid w:val="006953F1"/>
    <w:rsid w:val="006A106D"/>
    <w:rsid w:val="006A2765"/>
    <w:rsid w:val="006A6BFC"/>
    <w:rsid w:val="006A6F0F"/>
    <w:rsid w:val="006A756A"/>
    <w:rsid w:val="006B37E8"/>
    <w:rsid w:val="006C0881"/>
    <w:rsid w:val="006C396A"/>
    <w:rsid w:val="006C581F"/>
    <w:rsid w:val="006D1863"/>
    <w:rsid w:val="006D1ADA"/>
    <w:rsid w:val="006D1B78"/>
    <w:rsid w:val="006D2BC6"/>
    <w:rsid w:val="006D4058"/>
    <w:rsid w:val="006D4BE2"/>
    <w:rsid w:val="006D66F7"/>
    <w:rsid w:val="006E1F8C"/>
    <w:rsid w:val="006E3B5D"/>
    <w:rsid w:val="006F2B92"/>
    <w:rsid w:val="006F2DAD"/>
    <w:rsid w:val="006F2F5D"/>
    <w:rsid w:val="00702D61"/>
    <w:rsid w:val="00705C9D"/>
    <w:rsid w:val="00705F13"/>
    <w:rsid w:val="00706527"/>
    <w:rsid w:val="00714F1D"/>
    <w:rsid w:val="00715225"/>
    <w:rsid w:val="00717C37"/>
    <w:rsid w:val="00720CC6"/>
    <w:rsid w:val="00722DDB"/>
    <w:rsid w:val="00724728"/>
    <w:rsid w:val="00724F98"/>
    <w:rsid w:val="00730B9B"/>
    <w:rsid w:val="0073182E"/>
    <w:rsid w:val="007332FF"/>
    <w:rsid w:val="00735255"/>
    <w:rsid w:val="00736045"/>
    <w:rsid w:val="007408F5"/>
    <w:rsid w:val="00741EAE"/>
    <w:rsid w:val="0074542C"/>
    <w:rsid w:val="007551E1"/>
    <w:rsid w:val="00755248"/>
    <w:rsid w:val="007557E0"/>
    <w:rsid w:val="00761498"/>
    <w:rsid w:val="0076190B"/>
    <w:rsid w:val="00761E08"/>
    <w:rsid w:val="0076355D"/>
    <w:rsid w:val="00763A2D"/>
    <w:rsid w:val="007641D9"/>
    <w:rsid w:val="00764D3F"/>
    <w:rsid w:val="007702C6"/>
    <w:rsid w:val="00774F02"/>
    <w:rsid w:val="007761D8"/>
    <w:rsid w:val="00777795"/>
    <w:rsid w:val="00783A57"/>
    <w:rsid w:val="00784C92"/>
    <w:rsid w:val="007859CD"/>
    <w:rsid w:val="00786FA3"/>
    <w:rsid w:val="00790497"/>
    <w:rsid w:val="007907E4"/>
    <w:rsid w:val="00796461"/>
    <w:rsid w:val="00797696"/>
    <w:rsid w:val="007A47BF"/>
    <w:rsid w:val="007A4A65"/>
    <w:rsid w:val="007A6A4F"/>
    <w:rsid w:val="007B03F5"/>
    <w:rsid w:val="007B0BA4"/>
    <w:rsid w:val="007B59D3"/>
    <w:rsid w:val="007B5C09"/>
    <w:rsid w:val="007B5DA2"/>
    <w:rsid w:val="007C0966"/>
    <w:rsid w:val="007C19E7"/>
    <w:rsid w:val="007C5CFD"/>
    <w:rsid w:val="007C6D9F"/>
    <w:rsid w:val="007D2A04"/>
    <w:rsid w:val="007D4893"/>
    <w:rsid w:val="007D7697"/>
    <w:rsid w:val="007E2790"/>
    <w:rsid w:val="007E3B48"/>
    <w:rsid w:val="007E559C"/>
    <w:rsid w:val="007E5B41"/>
    <w:rsid w:val="007E5BF4"/>
    <w:rsid w:val="007E70CF"/>
    <w:rsid w:val="007E74A4"/>
    <w:rsid w:val="007E7E9E"/>
    <w:rsid w:val="007F263F"/>
    <w:rsid w:val="007F46EA"/>
    <w:rsid w:val="007F5579"/>
    <w:rsid w:val="007F5BA6"/>
    <w:rsid w:val="008002E8"/>
    <w:rsid w:val="008003B5"/>
    <w:rsid w:val="0080398C"/>
    <w:rsid w:val="0080766E"/>
    <w:rsid w:val="008105BE"/>
    <w:rsid w:val="00811169"/>
    <w:rsid w:val="0081278C"/>
    <w:rsid w:val="00815297"/>
    <w:rsid w:val="008168FD"/>
    <w:rsid w:val="00817BA1"/>
    <w:rsid w:val="00820882"/>
    <w:rsid w:val="008218E4"/>
    <w:rsid w:val="00821D46"/>
    <w:rsid w:val="00822D21"/>
    <w:rsid w:val="00823022"/>
    <w:rsid w:val="0082634E"/>
    <w:rsid w:val="008313C4"/>
    <w:rsid w:val="00832B35"/>
    <w:rsid w:val="00835434"/>
    <w:rsid w:val="008358C0"/>
    <w:rsid w:val="00836548"/>
    <w:rsid w:val="00842614"/>
    <w:rsid w:val="00842838"/>
    <w:rsid w:val="00850A81"/>
    <w:rsid w:val="00852724"/>
    <w:rsid w:val="00854BE6"/>
    <w:rsid w:val="00854EC1"/>
    <w:rsid w:val="0085797F"/>
    <w:rsid w:val="00861DC3"/>
    <w:rsid w:val="00867019"/>
    <w:rsid w:val="008735A9"/>
    <w:rsid w:val="00877245"/>
    <w:rsid w:val="00877D20"/>
    <w:rsid w:val="00881C48"/>
    <w:rsid w:val="00885590"/>
    <w:rsid w:val="00885B80"/>
    <w:rsid w:val="00885C30"/>
    <w:rsid w:val="00885E9B"/>
    <w:rsid w:val="0088623A"/>
    <w:rsid w:val="00886C9D"/>
    <w:rsid w:val="00891B5E"/>
    <w:rsid w:val="00891D3C"/>
    <w:rsid w:val="00893C96"/>
    <w:rsid w:val="0089500A"/>
    <w:rsid w:val="00897C94"/>
    <w:rsid w:val="008A0933"/>
    <w:rsid w:val="008A51A3"/>
    <w:rsid w:val="008A7C12"/>
    <w:rsid w:val="008B03CE"/>
    <w:rsid w:val="008B4A74"/>
    <w:rsid w:val="008B529E"/>
    <w:rsid w:val="008C0716"/>
    <w:rsid w:val="008C17FB"/>
    <w:rsid w:val="008C1FBF"/>
    <w:rsid w:val="008D1B00"/>
    <w:rsid w:val="008D57B8"/>
    <w:rsid w:val="008E0345"/>
    <w:rsid w:val="008E03FC"/>
    <w:rsid w:val="008E15D5"/>
    <w:rsid w:val="008E3A7F"/>
    <w:rsid w:val="008E510B"/>
    <w:rsid w:val="008F28D1"/>
    <w:rsid w:val="008F386A"/>
    <w:rsid w:val="008F5599"/>
    <w:rsid w:val="00902B13"/>
    <w:rsid w:val="00911941"/>
    <w:rsid w:val="009138A0"/>
    <w:rsid w:val="009160AD"/>
    <w:rsid w:val="0092301A"/>
    <w:rsid w:val="00925F0F"/>
    <w:rsid w:val="009302DB"/>
    <w:rsid w:val="00930C91"/>
    <w:rsid w:val="009324E5"/>
    <w:rsid w:val="00932F6B"/>
    <w:rsid w:val="009436FF"/>
    <w:rsid w:val="009468BC"/>
    <w:rsid w:val="009616DF"/>
    <w:rsid w:val="00964B22"/>
    <w:rsid w:val="0096542F"/>
    <w:rsid w:val="00966B57"/>
    <w:rsid w:val="00967FA7"/>
    <w:rsid w:val="00971645"/>
    <w:rsid w:val="0097485E"/>
    <w:rsid w:val="00977919"/>
    <w:rsid w:val="00977CF8"/>
    <w:rsid w:val="00983000"/>
    <w:rsid w:val="00984D9B"/>
    <w:rsid w:val="00985A35"/>
    <w:rsid w:val="009863A2"/>
    <w:rsid w:val="009870FA"/>
    <w:rsid w:val="0099042A"/>
    <w:rsid w:val="009921C3"/>
    <w:rsid w:val="009933B9"/>
    <w:rsid w:val="0099551D"/>
    <w:rsid w:val="00996BBF"/>
    <w:rsid w:val="009A2AE7"/>
    <w:rsid w:val="009A52D5"/>
    <w:rsid w:val="009A5897"/>
    <w:rsid w:val="009A5F24"/>
    <w:rsid w:val="009B0B3E"/>
    <w:rsid w:val="009B124A"/>
    <w:rsid w:val="009B1913"/>
    <w:rsid w:val="009B407B"/>
    <w:rsid w:val="009B6657"/>
    <w:rsid w:val="009B6EA0"/>
    <w:rsid w:val="009B7C35"/>
    <w:rsid w:val="009C0575"/>
    <w:rsid w:val="009C21F1"/>
    <w:rsid w:val="009C2B2F"/>
    <w:rsid w:val="009D0EB5"/>
    <w:rsid w:val="009D14F9"/>
    <w:rsid w:val="009D2B74"/>
    <w:rsid w:val="009D3371"/>
    <w:rsid w:val="009D3FE4"/>
    <w:rsid w:val="009D63FF"/>
    <w:rsid w:val="009D7FC4"/>
    <w:rsid w:val="009E175D"/>
    <w:rsid w:val="009E2315"/>
    <w:rsid w:val="009E2C85"/>
    <w:rsid w:val="009E3CC2"/>
    <w:rsid w:val="009E4178"/>
    <w:rsid w:val="009E654E"/>
    <w:rsid w:val="009F06BD"/>
    <w:rsid w:val="009F1A6F"/>
    <w:rsid w:val="009F2A4D"/>
    <w:rsid w:val="009F3302"/>
    <w:rsid w:val="009F5809"/>
    <w:rsid w:val="00A00828"/>
    <w:rsid w:val="00A03290"/>
    <w:rsid w:val="00A06593"/>
    <w:rsid w:val="00A0722A"/>
    <w:rsid w:val="00A07490"/>
    <w:rsid w:val="00A10655"/>
    <w:rsid w:val="00A1197C"/>
    <w:rsid w:val="00A12B64"/>
    <w:rsid w:val="00A22C38"/>
    <w:rsid w:val="00A25193"/>
    <w:rsid w:val="00A26E80"/>
    <w:rsid w:val="00A3123A"/>
    <w:rsid w:val="00A31AE8"/>
    <w:rsid w:val="00A32EFF"/>
    <w:rsid w:val="00A33E85"/>
    <w:rsid w:val="00A3593B"/>
    <w:rsid w:val="00A3739D"/>
    <w:rsid w:val="00A37DDA"/>
    <w:rsid w:val="00A37ED8"/>
    <w:rsid w:val="00A44B2E"/>
    <w:rsid w:val="00A50829"/>
    <w:rsid w:val="00A65C5D"/>
    <w:rsid w:val="00A666FE"/>
    <w:rsid w:val="00A7700D"/>
    <w:rsid w:val="00A80BBD"/>
    <w:rsid w:val="00A925EC"/>
    <w:rsid w:val="00A929AA"/>
    <w:rsid w:val="00A92B6B"/>
    <w:rsid w:val="00A955A9"/>
    <w:rsid w:val="00AA1F61"/>
    <w:rsid w:val="00AA4C49"/>
    <w:rsid w:val="00AA541E"/>
    <w:rsid w:val="00AA5D5B"/>
    <w:rsid w:val="00AA75EE"/>
    <w:rsid w:val="00AC1E7E"/>
    <w:rsid w:val="00AD0DA4"/>
    <w:rsid w:val="00AD134E"/>
    <w:rsid w:val="00AD1B26"/>
    <w:rsid w:val="00AD23F7"/>
    <w:rsid w:val="00AD4169"/>
    <w:rsid w:val="00AD7557"/>
    <w:rsid w:val="00AE25C6"/>
    <w:rsid w:val="00AE306C"/>
    <w:rsid w:val="00AE34F4"/>
    <w:rsid w:val="00AE6C1B"/>
    <w:rsid w:val="00AF28C1"/>
    <w:rsid w:val="00B00031"/>
    <w:rsid w:val="00B01718"/>
    <w:rsid w:val="00B02C31"/>
    <w:rsid w:val="00B02EF1"/>
    <w:rsid w:val="00B070B3"/>
    <w:rsid w:val="00B07C97"/>
    <w:rsid w:val="00B07EA1"/>
    <w:rsid w:val="00B11479"/>
    <w:rsid w:val="00B11C67"/>
    <w:rsid w:val="00B1229F"/>
    <w:rsid w:val="00B1386C"/>
    <w:rsid w:val="00B13BD5"/>
    <w:rsid w:val="00B1509D"/>
    <w:rsid w:val="00B15754"/>
    <w:rsid w:val="00B15A27"/>
    <w:rsid w:val="00B17DBD"/>
    <w:rsid w:val="00B2046E"/>
    <w:rsid w:val="00B20E8B"/>
    <w:rsid w:val="00B22752"/>
    <w:rsid w:val="00B257E1"/>
    <w:rsid w:val="00B2599A"/>
    <w:rsid w:val="00B27AC4"/>
    <w:rsid w:val="00B343CC"/>
    <w:rsid w:val="00B4076C"/>
    <w:rsid w:val="00B43C75"/>
    <w:rsid w:val="00B47282"/>
    <w:rsid w:val="00B5084A"/>
    <w:rsid w:val="00B56C42"/>
    <w:rsid w:val="00B606A1"/>
    <w:rsid w:val="00B614F7"/>
    <w:rsid w:val="00B61AB1"/>
    <w:rsid w:val="00B61B26"/>
    <w:rsid w:val="00B64D96"/>
    <w:rsid w:val="00B675B2"/>
    <w:rsid w:val="00B72F35"/>
    <w:rsid w:val="00B81261"/>
    <w:rsid w:val="00B815E6"/>
    <w:rsid w:val="00B81611"/>
    <w:rsid w:val="00B8223E"/>
    <w:rsid w:val="00B832AE"/>
    <w:rsid w:val="00B86678"/>
    <w:rsid w:val="00B92F9B"/>
    <w:rsid w:val="00B9319A"/>
    <w:rsid w:val="00B9415F"/>
    <w:rsid w:val="00B941B3"/>
    <w:rsid w:val="00B962C1"/>
    <w:rsid w:val="00B96513"/>
    <w:rsid w:val="00B967F2"/>
    <w:rsid w:val="00BA04A7"/>
    <w:rsid w:val="00BA1D47"/>
    <w:rsid w:val="00BA66F0"/>
    <w:rsid w:val="00BB2239"/>
    <w:rsid w:val="00BB2AE7"/>
    <w:rsid w:val="00BB2C36"/>
    <w:rsid w:val="00BB2E85"/>
    <w:rsid w:val="00BB4239"/>
    <w:rsid w:val="00BB6464"/>
    <w:rsid w:val="00BC1BB8"/>
    <w:rsid w:val="00BD0F38"/>
    <w:rsid w:val="00BD3CDA"/>
    <w:rsid w:val="00BD7FE1"/>
    <w:rsid w:val="00BE0579"/>
    <w:rsid w:val="00BE37CA"/>
    <w:rsid w:val="00BE4B2A"/>
    <w:rsid w:val="00BE4F0E"/>
    <w:rsid w:val="00BE6144"/>
    <w:rsid w:val="00BE635A"/>
    <w:rsid w:val="00BE7B33"/>
    <w:rsid w:val="00BF17E9"/>
    <w:rsid w:val="00BF2ABB"/>
    <w:rsid w:val="00BF5099"/>
    <w:rsid w:val="00BF6C88"/>
    <w:rsid w:val="00BF70FC"/>
    <w:rsid w:val="00C00A84"/>
    <w:rsid w:val="00C03F84"/>
    <w:rsid w:val="00C0589C"/>
    <w:rsid w:val="00C10627"/>
    <w:rsid w:val="00C10F10"/>
    <w:rsid w:val="00C128C4"/>
    <w:rsid w:val="00C15D4D"/>
    <w:rsid w:val="00C175DC"/>
    <w:rsid w:val="00C232DF"/>
    <w:rsid w:val="00C30171"/>
    <w:rsid w:val="00C309D8"/>
    <w:rsid w:val="00C33998"/>
    <w:rsid w:val="00C33EF0"/>
    <w:rsid w:val="00C43519"/>
    <w:rsid w:val="00C51537"/>
    <w:rsid w:val="00C52BC3"/>
    <w:rsid w:val="00C5488A"/>
    <w:rsid w:val="00C5584B"/>
    <w:rsid w:val="00C6104D"/>
    <w:rsid w:val="00C61AFA"/>
    <w:rsid w:val="00C61D64"/>
    <w:rsid w:val="00C62099"/>
    <w:rsid w:val="00C6403C"/>
    <w:rsid w:val="00C64EA3"/>
    <w:rsid w:val="00C67669"/>
    <w:rsid w:val="00C72867"/>
    <w:rsid w:val="00C75E81"/>
    <w:rsid w:val="00C75F52"/>
    <w:rsid w:val="00C77356"/>
    <w:rsid w:val="00C840CF"/>
    <w:rsid w:val="00C86609"/>
    <w:rsid w:val="00C86A4D"/>
    <w:rsid w:val="00C92B4C"/>
    <w:rsid w:val="00C954F6"/>
    <w:rsid w:val="00C95D30"/>
    <w:rsid w:val="00CA66F6"/>
    <w:rsid w:val="00CA6BC5"/>
    <w:rsid w:val="00CA7F89"/>
    <w:rsid w:val="00CB0225"/>
    <w:rsid w:val="00CB3E57"/>
    <w:rsid w:val="00CB46FD"/>
    <w:rsid w:val="00CB560D"/>
    <w:rsid w:val="00CC1CCA"/>
    <w:rsid w:val="00CC5522"/>
    <w:rsid w:val="00CC61CD"/>
    <w:rsid w:val="00CC6FCF"/>
    <w:rsid w:val="00CD3D1D"/>
    <w:rsid w:val="00CD5011"/>
    <w:rsid w:val="00CE0480"/>
    <w:rsid w:val="00CE444F"/>
    <w:rsid w:val="00CE640F"/>
    <w:rsid w:val="00CE7680"/>
    <w:rsid w:val="00CE76BC"/>
    <w:rsid w:val="00CF540E"/>
    <w:rsid w:val="00CF7F09"/>
    <w:rsid w:val="00D00858"/>
    <w:rsid w:val="00D02F07"/>
    <w:rsid w:val="00D057AB"/>
    <w:rsid w:val="00D10310"/>
    <w:rsid w:val="00D1349E"/>
    <w:rsid w:val="00D23346"/>
    <w:rsid w:val="00D24175"/>
    <w:rsid w:val="00D241B1"/>
    <w:rsid w:val="00D25903"/>
    <w:rsid w:val="00D27EBE"/>
    <w:rsid w:val="00D36A49"/>
    <w:rsid w:val="00D4129F"/>
    <w:rsid w:val="00D46060"/>
    <w:rsid w:val="00D517C6"/>
    <w:rsid w:val="00D52F32"/>
    <w:rsid w:val="00D54F69"/>
    <w:rsid w:val="00D6180F"/>
    <w:rsid w:val="00D61921"/>
    <w:rsid w:val="00D61E46"/>
    <w:rsid w:val="00D64806"/>
    <w:rsid w:val="00D71D84"/>
    <w:rsid w:val="00D72464"/>
    <w:rsid w:val="00D768EB"/>
    <w:rsid w:val="00D82D1E"/>
    <w:rsid w:val="00D832D9"/>
    <w:rsid w:val="00D90F00"/>
    <w:rsid w:val="00D94F6B"/>
    <w:rsid w:val="00D975C0"/>
    <w:rsid w:val="00DA5285"/>
    <w:rsid w:val="00DA5A20"/>
    <w:rsid w:val="00DB15D1"/>
    <w:rsid w:val="00DB191D"/>
    <w:rsid w:val="00DB3058"/>
    <w:rsid w:val="00DB4F91"/>
    <w:rsid w:val="00DB6CF5"/>
    <w:rsid w:val="00DC032A"/>
    <w:rsid w:val="00DC0AB3"/>
    <w:rsid w:val="00DC1EF7"/>
    <w:rsid w:val="00DC1F0F"/>
    <w:rsid w:val="00DC3117"/>
    <w:rsid w:val="00DC5DD9"/>
    <w:rsid w:val="00DC6D2D"/>
    <w:rsid w:val="00DD050A"/>
    <w:rsid w:val="00DD64C2"/>
    <w:rsid w:val="00DE308C"/>
    <w:rsid w:val="00DE33B5"/>
    <w:rsid w:val="00DE5E18"/>
    <w:rsid w:val="00DE6DBD"/>
    <w:rsid w:val="00DE6E01"/>
    <w:rsid w:val="00DE77B2"/>
    <w:rsid w:val="00DE77C9"/>
    <w:rsid w:val="00DF0487"/>
    <w:rsid w:val="00DF3424"/>
    <w:rsid w:val="00DF4E9E"/>
    <w:rsid w:val="00DF5EA4"/>
    <w:rsid w:val="00E02681"/>
    <w:rsid w:val="00E02792"/>
    <w:rsid w:val="00E02A2B"/>
    <w:rsid w:val="00E034D8"/>
    <w:rsid w:val="00E049DE"/>
    <w:rsid w:val="00E04CC0"/>
    <w:rsid w:val="00E15816"/>
    <w:rsid w:val="00E160D5"/>
    <w:rsid w:val="00E216DF"/>
    <w:rsid w:val="00E21E25"/>
    <w:rsid w:val="00E239FF"/>
    <w:rsid w:val="00E27D7B"/>
    <w:rsid w:val="00E30556"/>
    <w:rsid w:val="00E30981"/>
    <w:rsid w:val="00E33136"/>
    <w:rsid w:val="00E34D7C"/>
    <w:rsid w:val="00E3652F"/>
    <w:rsid w:val="00E36C7E"/>
    <w:rsid w:val="00E3723D"/>
    <w:rsid w:val="00E37E6F"/>
    <w:rsid w:val="00E44C89"/>
    <w:rsid w:val="00E45536"/>
    <w:rsid w:val="00E511DF"/>
    <w:rsid w:val="00E51C4F"/>
    <w:rsid w:val="00E56FB5"/>
    <w:rsid w:val="00E61BA2"/>
    <w:rsid w:val="00E63586"/>
    <w:rsid w:val="00E63864"/>
    <w:rsid w:val="00E6403F"/>
    <w:rsid w:val="00E64725"/>
    <w:rsid w:val="00E6792E"/>
    <w:rsid w:val="00E7417A"/>
    <w:rsid w:val="00E770C4"/>
    <w:rsid w:val="00E77ACA"/>
    <w:rsid w:val="00E84960"/>
    <w:rsid w:val="00E84C5A"/>
    <w:rsid w:val="00E861DB"/>
    <w:rsid w:val="00E90FA2"/>
    <w:rsid w:val="00E93406"/>
    <w:rsid w:val="00E956C5"/>
    <w:rsid w:val="00E95C39"/>
    <w:rsid w:val="00EA115A"/>
    <w:rsid w:val="00EA2C39"/>
    <w:rsid w:val="00EA4634"/>
    <w:rsid w:val="00EB0A3C"/>
    <w:rsid w:val="00EB0A96"/>
    <w:rsid w:val="00EB3D43"/>
    <w:rsid w:val="00EB3D78"/>
    <w:rsid w:val="00EB77F9"/>
    <w:rsid w:val="00EC5769"/>
    <w:rsid w:val="00EC7D00"/>
    <w:rsid w:val="00ED0304"/>
    <w:rsid w:val="00ED087C"/>
    <w:rsid w:val="00ED351B"/>
    <w:rsid w:val="00ED3F4A"/>
    <w:rsid w:val="00EE23F4"/>
    <w:rsid w:val="00EE38FA"/>
    <w:rsid w:val="00EE3E2C"/>
    <w:rsid w:val="00EE466C"/>
    <w:rsid w:val="00EE5D23"/>
    <w:rsid w:val="00EE6B77"/>
    <w:rsid w:val="00EE750D"/>
    <w:rsid w:val="00EF3CA4"/>
    <w:rsid w:val="00EF5E1F"/>
    <w:rsid w:val="00EF7859"/>
    <w:rsid w:val="00F014DA"/>
    <w:rsid w:val="00F02591"/>
    <w:rsid w:val="00F13212"/>
    <w:rsid w:val="00F14273"/>
    <w:rsid w:val="00F1528A"/>
    <w:rsid w:val="00F15D8F"/>
    <w:rsid w:val="00F169F6"/>
    <w:rsid w:val="00F31329"/>
    <w:rsid w:val="00F32585"/>
    <w:rsid w:val="00F362CD"/>
    <w:rsid w:val="00F45B94"/>
    <w:rsid w:val="00F47798"/>
    <w:rsid w:val="00F479D5"/>
    <w:rsid w:val="00F50DFB"/>
    <w:rsid w:val="00F53E4D"/>
    <w:rsid w:val="00F567FF"/>
    <w:rsid w:val="00F5696E"/>
    <w:rsid w:val="00F60EFF"/>
    <w:rsid w:val="00F62958"/>
    <w:rsid w:val="00F67D2D"/>
    <w:rsid w:val="00F70155"/>
    <w:rsid w:val="00F72DCE"/>
    <w:rsid w:val="00F73889"/>
    <w:rsid w:val="00F80735"/>
    <w:rsid w:val="00F860CC"/>
    <w:rsid w:val="00F86D4C"/>
    <w:rsid w:val="00F90858"/>
    <w:rsid w:val="00F94398"/>
    <w:rsid w:val="00FA0BE8"/>
    <w:rsid w:val="00FA228B"/>
    <w:rsid w:val="00FA238A"/>
    <w:rsid w:val="00FA4629"/>
    <w:rsid w:val="00FA64B4"/>
    <w:rsid w:val="00FA6B6D"/>
    <w:rsid w:val="00FB0A2D"/>
    <w:rsid w:val="00FB0AA5"/>
    <w:rsid w:val="00FB2B56"/>
    <w:rsid w:val="00FB4E3A"/>
    <w:rsid w:val="00FB5318"/>
    <w:rsid w:val="00FC12BF"/>
    <w:rsid w:val="00FC16A5"/>
    <w:rsid w:val="00FC1A7C"/>
    <w:rsid w:val="00FC2C60"/>
    <w:rsid w:val="00FC302E"/>
    <w:rsid w:val="00FC64AB"/>
    <w:rsid w:val="00FD08CA"/>
    <w:rsid w:val="00FD3E6F"/>
    <w:rsid w:val="00FD51B9"/>
    <w:rsid w:val="00FD74CA"/>
    <w:rsid w:val="00FE110B"/>
    <w:rsid w:val="00FE2A39"/>
    <w:rsid w:val="00FE2EF6"/>
    <w:rsid w:val="00FF39CF"/>
    <w:rsid w:val="00FF3E05"/>
    <w:rsid w:val="00FF7159"/>
    <w:rsid w:val="00FF792F"/>
    <w:rsid w:val="00FF7E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E8408"/>
  <w15:docId w15:val="{47AA2448-307A-4AD7-9E55-3F7215FB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84B"/>
    <w:rPr>
      <w:rFonts w:ascii="Lato" w:hAnsi="Lato"/>
    </w:rPr>
  </w:style>
  <w:style w:type="paragraph" w:styleId="Heading1">
    <w:name w:val="heading 1"/>
    <w:aliases w:val="2Heading 1,BaHeading 1,A2 Heading 1"/>
    <w:basedOn w:val="Normal"/>
    <w:next w:val="Normal"/>
    <w:link w:val="Heading1Char"/>
    <w:qFormat/>
    <w:rsid w:val="00E45536"/>
    <w:pPr>
      <w:numPr>
        <w:numId w:val="3"/>
      </w:num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9"/>
    <w:qFormat/>
    <w:rsid w:val="00E45536"/>
    <w:pPr>
      <w:numPr>
        <w:ilvl w:val="1"/>
        <w:numId w:val="3"/>
      </w:numPr>
      <w:spacing w:before="240"/>
      <w:outlineLvl w:val="1"/>
    </w:pPr>
    <w:rPr>
      <w:rFonts w:asciiTheme="majorHAnsi" w:eastAsiaTheme="majorEastAsia" w:hAnsiTheme="majorHAnsi" w:cstheme="majorBidi"/>
      <w:bCs/>
      <w:iCs/>
      <w:color w:val="454347"/>
      <w:sz w:val="32"/>
      <w:szCs w:val="32"/>
    </w:rPr>
  </w:style>
  <w:style w:type="paragraph" w:styleId="Heading3">
    <w:name w:val="heading 3"/>
    <w:basedOn w:val="Normal"/>
    <w:next w:val="Normal"/>
    <w:link w:val="Heading3Char"/>
    <w:uiPriority w:val="2"/>
    <w:qFormat/>
    <w:rsid w:val="00BE0579"/>
    <w:pPr>
      <w:spacing w:before="240"/>
      <w:outlineLvl w:val="2"/>
    </w:pPr>
    <w:rPr>
      <w:rFonts w:asciiTheme="majorHAnsi" w:hAnsiTheme="majorHAnsi" w:cs="Arial"/>
      <w:bCs/>
      <w:color w:val="1F1F5F" w:themeColor="text1"/>
      <w:sz w:val="28"/>
      <w:szCs w:val="28"/>
      <w:lang w:eastAsia="en-AU"/>
    </w:rPr>
  </w:style>
  <w:style w:type="paragraph" w:styleId="Heading4">
    <w:name w:val="heading 4"/>
    <w:basedOn w:val="Normal"/>
    <w:next w:val="Normal"/>
    <w:link w:val="Heading4Char"/>
    <w:uiPriority w:val="2"/>
    <w:qFormat/>
    <w:rsid w:val="00E45536"/>
    <w:pPr>
      <w:numPr>
        <w:ilvl w:val="3"/>
        <w:numId w:val="3"/>
      </w:numPr>
      <w:spacing w:before="240"/>
      <w:ind w:left="862" w:hanging="862"/>
      <w:outlineLvl w:val="3"/>
    </w:pPr>
    <w:rPr>
      <w:rFonts w:asciiTheme="majorHAnsi" w:eastAsiaTheme="majorEastAsia" w:hAnsiTheme="majorHAnsi" w:cstheme="majorBidi"/>
      <w:bCs/>
      <w:iCs/>
      <w:color w:val="454347"/>
      <w:sz w:val="24"/>
    </w:rPr>
  </w:style>
  <w:style w:type="paragraph" w:styleId="Heading5">
    <w:name w:val="heading 5"/>
    <w:basedOn w:val="Normal"/>
    <w:next w:val="Normal"/>
    <w:link w:val="Heading5Char"/>
    <w:uiPriority w:val="2"/>
    <w:semiHidden/>
    <w:rsid w:val="00C5584B"/>
    <w:pPr>
      <w:numPr>
        <w:ilvl w:val="4"/>
        <w:numId w:val="3"/>
      </w:numPr>
      <w:ind w:left="1009" w:hanging="1009"/>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C5584B"/>
    <w:pPr>
      <w:numPr>
        <w:ilvl w:val="5"/>
        <w:numId w:val="3"/>
      </w:numPr>
      <w:ind w:left="1151" w:hanging="1151"/>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C5584B"/>
    <w:pPr>
      <w:numPr>
        <w:ilvl w:val="6"/>
        <w:numId w:val="3"/>
      </w:numPr>
      <w:ind w:left="1298" w:hanging="1298"/>
      <w:outlineLvl w:val="6"/>
    </w:pPr>
    <w:rPr>
      <w:rFonts w:asciiTheme="majorHAnsi" w:hAnsiTheme="majorHAnsi"/>
      <w:color w:val="1F1F5F" w:themeColor="text1"/>
      <w:lang w:eastAsia="en-AU"/>
    </w:rPr>
  </w:style>
  <w:style w:type="paragraph" w:styleId="Heading8">
    <w:name w:val="heading 8"/>
    <w:basedOn w:val="Normal"/>
    <w:next w:val="Normal"/>
    <w:link w:val="Heading8Char"/>
    <w:uiPriority w:val="2"/>
    <w:semiHidden/>
    <w:rsid w:val="00C5584B"/>
    <w:pPr>
      <w:numPr>
        <w:ilvl w:val="7"/>
        <w:numId w:val="3"/>
      </w:numPr>
      <w:outlineLvl w:val="7"/>
    </w:pPr>
    <w:rPr>
      <w:rFonts w:asciiTheme="majorHAnsi" w:hAnsiTheme="majorHAnsi"/>
      <w:color w:val="606060"/>
      <w:lang w:eastAsia="en-AU"/>
    </w:rPr>
  </w:style>
  <w:style w:type="paragraph" w:styleId="Heading9">
    <w:name w:val="heading 9"/>
    <w:basedOn w:val="Normal"/>
    <w:next w:val="Normal"/>
    <w:link w:val="Heading9Char"/>
    <w:uiPriority w:val="2"/>
    <w:semiHidden/>
    <w:rsid w:val="00C5584B"/>
    <w:pPr>
      <w:numPr>
        <w:ilvl w:val="8"/>
        <w:numId w:val="3"/>
      </w:numPr>
      <w:ind w:left="1582" w:hanging="1582"/>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aliases w:val="2Heading 1 Char,BaHeading 1 Char,A2 Heading 1 Char"/>
    <w:basedOn w:val="DefaultParagraphFont"/>
    <w:link w:val="Heading1"/>
    <w:rsid w:val="00E45536"/>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9"/>
    <w:rsid w:val="00E45536"/>
    <w:rPr>
      <w:rFonts w:asciiTheme="majorHAnsi" w:eastAsiaTheme="majorEastAsia" w:hAnsiTheme="majorHAnsi" w:cstheme="majorBidi"/>
      <w:bCs/>
      <w:iCs/>
      <w:color w:val="454347"/>
      <w:sz w:val="32"/>
      <w:szCs w:val="32"/>
    </w:rPr>
  </w:style>
  <w:style w:type="paragraph" w:styleId="Title">
    <w:name w:val="Title"/>
    <w:basedOn w:val="Normal"/>
    <w:next w:val="Normal"/>
    <w:link w:val="TitleChar"/>
    <w:qFormat/>
    <w:rsid w:val="00F13212"/>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F13212"/>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BE0579"/>
    <w:rPr>
      <w:rFonts w:asciiTheme="majorHAnsi" w:hAnsiTheme="majorHAnsi" w:cs="Arial"/>
      <w:bCs/>
      <w:color w:val="1F1F5F" w:themeColor="text1"/>
      <w:sz w:val="28"/>
      <w:szCs w:val="28"/>
      <w:lang w:eastAsia="en-AU"/>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99"/>
    <w:rsid w:val="00FC16A5"/>
    <w:pPr>
      <w:tabs>
        <w:tab w:val="right" w:pos="10318"/>
      </w:tabs>
      <w:spacing w:after="240"/>
      <w:jc w:val="right"/>
    </w:pPr>
  </w:style>
  <w:style w:type="character" w:customStyle="1" w:styleId="HeaderChar">
    <w:name w:val="Header Char"/>
    <w:aliases w:val="Page header Char"/>
    <w:basedOn w:val="DefaultParagraphFont"/>
    <w:link w:val="Header"/>
    <w:uiPriority w:val="99"/>
    <w:rsid w:val="00FC16A5"/>
    <w:rPr>
      <w:rFonts w:ascii="Lato" w:hAnsi="Lato"/>
    </w:rPr>
  </w:style>
  <w:style w:type="paragraph" w:styleId="Footer">
    <w:name w:val="footer"/>
    <w:basedOn w:val="Normal"/>
    <w:link w:val="FooterChar"/>
    <w:uiPriority w:val="99"/>
    <w:unhideWhenUsed/>
    <w:rsid w:val="004E7885"/>
    <w:pPr>
      <w:tabs>
        <w:tab w:val="center" w:pos="4513"/>
        <w:tab w:val="right" w:pos="9026"/>
      </w:tabs>
      <w:spacing w:after="0"/>
    </w:pPr>
  </w:style>
  <w:style w:type="character" w:customStyle="1" w:styleId="FooterChar">
    <w:name w:val="Footer Char"/>
    <w:basedOn w:val="DefaultParagraphFont"/>
    <w:link w:val="Footer"/>
    <w:uiPriority w:val="99"/>
    <w:rsid w:val="004E7885"/>
    <w:rPr>
      <w:rFonts w:ascii="Lato" w:hAnsi="Lato"/>
    </w:rPr>
  </w:style>
  <w:style w:type="paragraph" w:customStyle="1" w:styleId="Subtitle0">
    <w:name w:val="Sub title"/>
    <w:basedOn w:val="Normal"/>
    <w:uiPriority w:val="1"/>
    <w:qFormat/>
    <w:rsid w:val="00E77ACA"/>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E45536"/>
    <w:rPr>
      <w:rFonts w:asciiTheme="majorHAnsi" w:eastAsiaTheme="majorEastAsia" w:hAnsiTheme="majorHAnsi" w:cstheme="majorBidi"/>
      <w:bCs/>
      <w:iCs/>
      <w:color w:val="454347"/>
      <w:sz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3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C5584B"/>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C5584B"/>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C5584B"/>
    <w:rPr>
      <w:rFonts w:asciiTheme="majorHAnsi" w:hAnsiTheme="majorHAnsi"/>
      <w:color w:val="1F1F5F" w:themeColor="text1"/>
      <w:lang w:eastAsia="en-AU"/>
    </w:rPr>
  </w:style>
  <w:style w:type="character" w:customStyle="1" w:styleId="Heading8Char">
    <w:name w:val="Heading 8 Char"/>
    <w:basedOn w:val="DefaultParagraphFont"/>
    <w:link w:val="Heading8"/>
    <w:uiPriority w:val="2"/>
    <w:semiHidden/>
    <w:rsid w:val="00C5584B"/>
    <w:rPr>
      <w:rFonts w:asciiTheme="majorHAnsi" w:hAnsiTheme="majorHAnsi"/>
      <w:color w:val="606060"/>
      <w:lang w:eastAsia="en-AU"/>
    </w:rPr>
  </w:style>
  <w:style w:type="character" w:customStyle="1" w:styleId="Heading9Char">
    <w:name w:val="Heading 9 Char"/>
    <w:basedOn w:val="DefaultParagraphFont"/>
    <w:link w:val="Heading9"/>
    <w:uiPriority w:val="2"/>
    <w:semiHidden/>
    <w:rsid w:val="00C5584B"/>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AD7557"/>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0B280D"/>
    <w:pPr>
      <w:spacing w:before="40" w:after="40"/>
    </w:pPr>
    <w:rPr>
      <w:rFonts w:ascii="Lato" w:hAnsi="Lato"/>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color w:val="FFFFFF" w:themeColor="background1"/>
        <w:sz w:val="22"/>
      </w:rPr>
      <w:tblPr/>
      <w:tcPr>
        <w:shd w:val="clear" w:color="auto" w:fill="1F1F5F" w:themeFill="text1"/>
      </w:tcPr>
    </w:tblStylePr>
    <w:tblStylePr w:type="lastRow">
      <w:rPr>
        <w:b/>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sz w:val="22"/>
      </w:rPr>
    </w:tblStylePr>
    <w:tblStylePr w:type="lastCol">
      <w:rPr>
        <w:sz w:val="22"/>
      </w:rPr>
    </w:tblStylePr>
    <w:tblStylePr w:type="band1Vert">
      <w:rPr>
        <w:rFonts w:ascii="Lato" w:hAnsi="Lato"/>
        <w:sz w:val="22"/>
      </w:rPr>
    </w:tblStylePr>
    <w:tblStylePr w:type="band2Vert">
      <w:rPr>
        <w:rFonts w:ascii="Lato" w:hAnsi="Lato"/>
        <w:sz w:val="22"/>
      </w:rPr>
    </w:tblStylePr>
    <w:tblStylePr w:type="band1Horz">
      <w:rPr>
        <w:rFonts w:ascii="Lato" w:hAnsi="Lato"/>
        <w:sz w:val="22"/>
      </w:rPr>
    </w:tblStylePr>
    <w:tblStylePr w:type="band2Horz">
      <w:rPr>
        <w:rFonts w:ascii="Lato" w:hAnsi="Lato"/>
        <w:sz w:val="22"/>
      </w:rPr>
      <w:tblPr/>
      <w:tcPr>
        <w:shd w:val="clear" w:color="auto" w:fill="D9D9D9" w:themeFill="background1" w:themeFillShade="D9"/>
      </w:tcPr>
    </w:tblStylePr>
    <w:tblStylePr w:type="neCell">
      <w:rPr>
        <w:sz w:val="22"/>
      </w:rPr>
    </w:tblStylePr>
    <w:tblStylePr w:type="nwCell">
      <w:rPr>
        <w:sz w:val="22"/>
      </w:rPr>
    </w:tblStylePr>
    <w:tblStylePr w:type="seCell">
      <w:rPr>
        <w:sz w:val="22"/>
      </w:rPr>
    </w:tblStylePr>
    <w:tblStylePr w:type="swCell">
      <w:rPr>
        <w:sz w:val="22"/>
      </w:rPr>
    </w:tblStylePr>
  </w:style>
  <w:style w:type="paragraph" w:styleId="FootnoteText">
    <w:name w:val="footnote text"/>
    <w:basedOn w:val="Normal"/>
    <w:link w:val="FootnoteTextChar"/>
    <w:uiPriority w:val="99"/>
    <w:unhideWhenUsed/>
    <w:rsid w:val="000B6E48"/>
    <w:pPr>
      <w:spacing w:after="0"/>
    </w:pPr>
    <w:rPr>
      <w:sz w:val="20"/>
      <w:szCs w:val="20"/>
    </w:rPr>
  </w:style>
  <w:style w:type="character" w:customStyle="1" w:styleId="FootnoteTextChar">
    <w:name w:val="Footnote Text Char"/>
    <w:basedOn w:val="DefaultParagraphFont"/>
    <w:link w:val="FootnoteText"/>
    <w:uiPriority w:val="99"/>
    <w:rsid w:val="000B6E48"/>
    <w:rPr>
      <w:rFonts w:ascii="Lato" w:hAnsi="Lato"/>
      <w:sz w:val="20"/>
      <w:szCs w:val="20"/>
    </w:rPr>
  </w:style>
  <w:style w:type="character" w:styleId="FootnoteReference">
    <w:name w:val="footnote reference"/>
    <w:basedOn w:val="DefaultParagraphFont"/>
    <w:uiPriority w:val="99"/>
    <w:semiHidden/>
    <w:unhideWhenUsed/>
    <w:rsid w:val="000B6E48"/>
    <w:rPr>
      <w:vertAlign w:val="superscript"/>
    </w:rPr>
  </w:style>
  <w:style w:type="paragraph" w:styleId="EndnoteText">
    <w:name w:val="endnote text"/>
    <w:basedOn w:val="Normal"/>
    <w:link w:val="EndnoteTextChar"/>
    <w:uiPriority w:val="99"/>
    <w:semiHidden/>
    <w:unhideWhenUsed/>
    <w:rsid w:val="00797696"/>
    <w:pPr>
      <w:spacing w:after="0"/>
    </w:pPr>
    <w:rPr>
      <w:sz w:val="20"/>
      <w:szCs w:val="20"/>
    </w:rPr>
  </w:style>
  <w:style w:type="character" w:customStyle="1" w:styleId="EndnoteTextChar">
    <w:name w:val="Endnote Text Char"/>
    <w:basedOn w:val="DefaultParagraphFont"/>
    <w:link w:val="EndnoteText"/>
    <w:uiPriority w:val="99"/>
    <w:semiHidden/>
    <w:rsid w:val="00797696"/>
    <w:rPr>
      <w:rFonts w:ascii="Lato" w:hAnsi="Lato"/>
      <w:sz w:val="20"/>
      <w:szCs w:val="20"/>
    </w:rPr>
  </w:style>
  <w:style w:type="character" w:styleId="EndnoteReference">
    <w:name w:val="endnote reference"/>
    <w:basedOn w:val="DefaultParagraphFont"/>
    <w:uiPriority w:val="99"/>
    <w:semiHidden/>
    <w:unhideWhenUsed/>
    <w:rsid w:val="00797696"/>
    <w:rPr>
      <w:vertAlign w:val="superscript"/>
    </w:rPr>
  </w:style>
  <w:style w:type="paragraph" w:customStyle="1" w:styleId="z1BodyTextIn">
    <w:name w:val="z1 Body Text In"/>
    <w:basedOn w:val="BodyText"/>
    <w:qFormat/>
    <w:rsid w:val="00B22752"/>
    <w:pPr>
      <w:keepLines/>
      <w:suppressAutoHyphens/>
      <w:spacing w:before="120" w:line="260" w:lineRule="atLeast"/>
      <w:ind w:left="720"/>
      <w:jc w:val="both"/>
    </w:pPr>
    <w:rPr>
      <w:rFonts w:ascii="Microsoft Sans Serif" w:eastAsia="Times New Roman" w:hAnsi="Microsoft Sans Serif"/>
      <w:sz w:val="20"/>
      <w:szCs w:val="20"/>
    </w:rPr>
  </w:style>
  <w:style w:type="character" w:styleId="CommentReference">
    <w:name w:val="annotation reference"/>
    <w:basedOn w:val="DefaultParagraphFont"/>
    <w:uiPriority w:val="99"/>
    <w:semiHidden/>
    <w:unhideWhenUsed/>
    <w:rsid w:val="00F73889"/>
    <w:rPr>
      <w:sz w:val="16"/>
      <w:szCs w:val="16"/>
    </w:rPr>
  </w:style>
  <w:style w:type="paragraph" w:styleId="BalloonText">
    <w:name w:val="Balloon Text"/>
    <w:basedOn w:val="Normal"/>
    <w:link w:val="BalloonTextChar"/>
    <w:uiPriority w:val="99"/>
    <w:semiHidden/>
    <w:unhideWhenUsed/>
    <w:rsid w:val="00B8161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611"/>
    <w:rPr>
      <w:rFonts w:ascii="Segoe UI" w:hAnsi="Segoe UI" w:cs="Segoe UI"/>
      <w:sz w:val="18"/>
      <w:szCs w:val="18"/>
    </w:rPr>
  </w:style>
  <w:style w:type="paragraph" w:styleId="CommentText">
    <w:name w:val="annotation text"/>
    <w:basedOn w:val="Normal"/>
    <w:link w:val="CommentTextChar"/>
    <w:uiPriority w:val="99"/>
    <w:semiHidden/>
    <w:unhideWhenUsed/>
    <w:rsid w:val="00FF7EE8"/>
    <w:rPr>
      <w:sz w:val="20"/>
      <w:szCs w:val="20"/>
    </w:rPr>
  </w:style>
  <w:style w:type="character" w:customStyle="1" w:styleId="CommentTextChar">
    <w:name w:val="Comment Text Char"/>
    <w:basedOn w:val="DefaultParagraphFont"/>
    <w:link w:val="CommentText"/>
    <w:uiPriority w:val="99"/>
    <w:semiHidden/>
    <w:rsid w:val="00FF7EE8"/>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FF7EE8"/>
    <w:rPr>
      <w:b/>
      <w:bCs/>
    </w:rPr>
  </w:style>
  <w:style w:type="character" w:customStyle="1" w:styleId="CommentSubjectChar">
    <w:name w:val="Comment Subject Char"/>
    <w:basedOn w:val="CommentTextChar"/>
    <w:link w:val="CommentSubject"/>
    <w:uiPriority w:val="99"/>
    <w:semiHidden/>
    <w:rsid w:val="00FF7EE8"/>
    <w:rPr>
      <w:rFonts w:ascii="Lato" w:hAnsi="Lato"/>
      <w:b/>
      <w:bCs/>
      <w:sz w:val="20"/>
      <w:szCs w:val="20"/>
    </w:rPr>
  </w:style>
  <w:style w:type="paragraph" w:styleId="Revision">
    <w:name w:val="Revision"/>
    <w:hidden/>
    <w:uiPriority w:val="99"/>
    <w:semiHidden/>
    <w:rsid w:val="00F1528A"/>
    <w:pPr>
      <w:spacing w:after="0"/>
    </w:pPr>
    <w:rPr>
      <w:rFonts w:ascii="Lato" w:hAnsi="La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464549245">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211242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7\AppData\Local\Microsoft\Windows\INetCache\IE\8ZKT38DT\ntg-long-block-template_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9E82C88A4943B5B71088A57D3981B9"/>
        <w:category>
          <w:name w:val="General"/>
          <w:gallery w:val="placeholder"/>
        </w:category>
        <w:types>
          <w:type w:val="bbPlcHdr"/>
        </w:types>
        <w:behaviors>
          <w:behavior w:val="content"/>
        </w:behaviors>
        <w:guid w:val="{97079B36-E17C-4EDC-9819-15185E1DBC59}"/>
      </w:docPartPr>
      <w:docPartBody>
        <w:p w:rsidR="00FD1A62" w:rsidRDefault="00FD1A62">
          <w:pPr>
            <w:pStyle w:val="059E82C88A4943B5B71088A57D3981B9"/>
          </w:pPr>
          <w:r>
            <w:t>&lt;Document title&gt;</w:t>
          </w:r>
        </w:p>
      </w:docPartBody>
    </w:docPart>
    <w:docPart>
      <w:docPartPr>
        <w:name w:val="F79D73C68A4748CDB3E427EE38EB82CB"/>
        <w:category>
          <w:name w:val="General"/>
          <w:gallery w:val="placeholder"/>
        </w:category>
        <w:types>
          <w:type w:val="bbPlcHdr"/>
        </w:types>
        <w:behaviors>
          <w:behavior w:val="content"/>
        </w:behaviors>
        <w:guid w:val="{A5D94648-274D-4EE6-82A6-F4CAB0E72FFB}"/>
      </w:docPartPr>
      <w:docPartBody>
        <w:p w:rsidR="00FD1A62" w:rsidRDefault="00FD1A62">
          <w:pPr>
            <w:pStyle w:val="F79D73C68A4748CDB3E427EE38EB82CB"/>
          </w:pPr>
          <w:r w:rsidRPr="004E7885">
            <w:rPr>
              <w:rStyle w:val="PlaceholderText"/>
            </w:rPr>
            <w:t>&lt;Document title&gt;</w:t>
          </w:r>
        </w:p>
      </w:docPartBody>
    </w:docPart>
    <w:docPart>
      <w:docPartPr>
        <w:name w:val="397569FDECFF4D6191EE0A495B4C095F"/>
        <w:category>
          <w:name w:val="General"/>
          <w:gallery w:val="placeholder"/>
        </w:category>
        <w:types>
          <w:type w:val="bbPlcHdr"/>
        </w:types>
        <w:behaviors>
          <w:behavior w:val="content"/>
        </w:behaviors>
        <w:guid w:val="{B4E39373-FCA9-4036-B7AF-A5D5FE6CC743}"/>
      </w:docPartPr>
      <w:docPartBody>
        <w:p w:rsidR="009F57FE" w:rsidRDefault="00471223" w:rsidP="00471223">
          <w:pPr>
            <w:pStyle w:val="397569FDECFF4D6191EE0A495B4C095F"/>
          </w:pPr>
          <w:r w:rsidRPr="004E7885">
            <w:rPr>
              <w:rStyle w:val="PlaceholderText"/>
            </w:rPr>
            <w:t>&lt;Document title&gt;</w:t>
          </w:r>
        </w:p>
      </w:docPartBody>
    </w:docPart>
    <w:docPart>
      <w:docPartPr>
        <w:name w:val="843E22AABF734CB78FD5580D5AB8BC50"/>
        <w:category>
          <w:name w:val="General"/>
          <w:gallery w:val="placeholder"/>
        </w:category>
        <w:types>
          <w:type w:val="bbPlcHdr"/>
        </w:types>
        <w:behaviors>
          <w:behavior w:val="content"/>
        </w:behaviors>
        <w:guid w:val="{3FBE3E31-10AE-4B37-9E65-3E621B1E0120}"/>
      </w:docPartPr>
      <w:docPartBody>
        <w:p w:rsidR="00000000" w:rsidRDefault="00E12A99" w:rsidP="00E12A99">
          <w:pPr>
            <w:pStyle w:val="843E22AABF734CB78FD5580D5AB8BC50"/>
          </w:pPr>
          <w:r w:rsidRPr="005076E2">
            <w:t>&lt;Date Month Year&gt;</w:t>
          </w:r>
        </w:p>
      </w:docPartBody>
    </w:docPart>
    <w:docPart>
      <w:docPartPr>
        <w:name w:val="783AF9C25769402283DB5933FC6C5329"/>
        <w:category>
          <w:name w:val="General"/>
          <w:gallery w:val="placeholder"/>
        </w:category>
        <w:types>
          <w:type w:val="bbPlcHdr"/>
        </w:types>
        <w:behaviors>
          <w:behavior w:val="content"/>
        </w:behaviors>
        <w:guid w:val="{C6B044ED-369B-4364-BBFE-7E9E59D32C32}"/>
      </w:docPartPr>
      <w:docPartBody>
        <w:p w:rsidR="00000000" w:rsidRDefault="00E12A99" w:rsidP="00E12A99">
          <w:pPr>
            <w:pStyle w:val="783AF9C25769402283DB5933FC6C5329"/>
          </w:pPr>
          <w:r w:rsidRPr="005076E2">
            <w:t>&lt;Date Month Year&gt;</w:t>
          </w:r>
        </w:p>
      </w:docPartBody>
    </w:docPart>
    <w:docPart>
      <w:docPartPr>
        <w:name w:val="BFE8CA17EB5A4F7280D087D290555157"/>
        <w:category>
          <w:name w:val="General"/>
          <w:gallery w:val="placeholder"/>
        </w:category>
        <w:types>
          <w:type w:val="bbPlcHdr"/>
        </w:types>
        <w:behaviors>
          <w:behavior w:val="content"/>
        </w:behaviors>
        <w:guid w:val="{F1A91015-249C-43C8-9ED4-3297040D4730}"/>
      </w:docPartPr>
      <w:docPartBody>
        <w:p w:rsidR="00000000" w:rsidRDefault="00E12A99" w:rsidP="00E12A99">
          <w:pPr>
            <w:pStyle w:val="BFE8CA17EB5A4F7280D087D290555157"/>
          </w:pPr>
          <w:r w:rsidRPr="005076E2">
            <w:t>&lt;Date Month Year&gt;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A62"/>
    <w:rsid w:val="0003746A"/>
    <w:rsid w:val="00214A8B"/>
    <w:rsid w:val="00405690"/>
    <w:rsid w:val="00471223"/>
    <w:rsid w:val="0056729E"/>
    <w:rsid w:val="007F2128"/>
    <w:rsid w:val="00863498"/>
    <w:rsid w:val="008655AE"/>
    <w:rsid w:val="008B4553"/>
    <w:rsid w:val="008B7C00"/>
    <w:rsid w:val="008C7897"/>
    <w:rsid w:val="009F57FE"/>
    <w:rsid w:val="00AA3035"/>
    <w:rsid w:val="00B01707"/>
    <w:rsid w:val="00B1169A"/>
    <w:rsid w:val="00DB1A4E"/>
    <w:rsid w:val="00E12A99"/>
    <w:rsid w:val="00E27834"/>
    <w:rsid w:val="00F50C0C"/>
    <w:rsid w:val="00FD1A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9E82C88A4943B5B71088A57D3981B9">
    <w:name w:val="059E82C88A4943B5B71088A57D3981B9"/>
  </w:style>
  <w:style w:type="character" w:styleId="PlaceholderText">
    <w:name w:val="Placeholder Text"/>
    <w:basedOn w:val="DefaultParagraphFont"/>
    <w:uiPriority w:val="99"/>
    <w:semiHidden/>
    <w:rsid w:val="00471223"/>
    <w:rPr>
      <w:color w:val="808080"/>
    </w:rPr>
  </w:style>
  <w:style w:type="paragraph" w:customStyle="1" w:styleId="4835FA1FF70444B29B21DB94B96A4EA4">
    <w:name w:val="4835FA1FF70444B29B21DB94B96A4EA4"/>
  </w:style>
  <w:style w:type="paragraph" w:customStyle="1" w:styleId="F79D73C68A4748CDB3E427EE38EB82CB">
    <w:name w:val="F79D73C68A4748CDB3E427EE38EB82CB"/>
  </w:style>
  <w:style w:type="paragraph" w:customStyle="1" w:styleId="66C93B32F20A40969880481EFEECFD03">
    <w:name w:val="66C93B32F20A40969880481EFEECFD03"/>
  </w:style>
  <w:style w:type="paragraph" w:customStyle="1" w:styleId="29C72C0A8B6A4F1B841B88407D468BA9">
    <w:name w:val="29C72C0A8B6A4F1B841B88407D468BA9"/>
  </w:style>
  <w:style w:type="paragraph" w:customStyle="1" w:styleId="0CD105D2CEAD42189835C22D87B5F72B">
    <w:name w:val="0CD105D2CEAD42189835C22D87B5F72B"/>
  </w:style>
  <w:style w:type="paragraph" w:customStyle="1" w:styleId="AE732882225D421D824F4205739E3506">
    <w:name w:val="AE732882225D421D824F4205739E3506"/>
    <w:rsid w:val="00471223"/>
  </w:style>
  <w:style w:type="paragraph" w:customStyle="1" w:styleId="22F9AFD897EE45DEBEF77403448513CA">
    <w:name w:val="22F9AFD897EE45DEBEF77403448513CA"/>
    <w:rsid w:val="00471223"/>
  </w:style>
  <w:style w:type="paragraph" w:customStyle="1" w:styleId="397569FDECFF4D6191EE0A495B4C095F">
    <w:name w:val="397569FDECFF4D6191EE0A495B4C095F"/>
    <w:rsid w:val="00471223"/>
  </w:style>
  <w:style w:type="paragraph" w:customStyle="1" w:styleId="0B2CF87C66204CD2AC025B1FD5C264EE">
    <w:name w:val="0B2CF87C66204CD2AC025B1FD5C264EE"/>
    <w:rsid w:val="00E12A99"/>
  </w:style>
  <w:style w:type="paragraph" w:customStyle="1" w:styleId="1E648459AAE04C8A9752424455C36B3F">
    <w:name w:val="1E648459AAE04C8A9752424455C36B3F"/>
    <w:rsid w:val="00E12A99"/>
  </w:style>
  <w:style w:type="paragraph" w:customStyle="1" w:styleId="843E22AABF734CB78FD5580D5AB8BC50">
    <w:name w:val="843E22AABF734CB78FD5580D5AB8BC50"/>
    <w:rsid w:val="00E12A99"/>
  </w:style>
  <w:style w:type="paragraph" w:customStyle="1" w:styleId="783AF9C25769402283DB5933FC6C5329">
    <w:name w:val="783AF9C25769402283DB5933FC6C5329"/>
    <w:rsid w:val="00E12A99"/>
  </w:style>
  <w:style w:type="paragraph" w:customStyle="1" w:styleId="BFE8CA17EB5A4F7280D087D290555157">
    <w:name w:val="BFE8CA17EB5A4F7280D087D290555157"/>
    <w:rsid w:val="00E12A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2020-06-12T00:00:00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F86E7E-B119-4BFF-BA76-2A39A340D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ntg-long-block-template_7.dotx</Template>
  <TotalTime>558</TotalTime>
  <Pages>28</Pages>
  <Words>8289</Words>
  <Characters>47253</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Review of Essential System Services in the Northern Territory’s Regulated Electricity Systems</vt:lpstr>
    </vt:vector>
  </TitlesOfParts>
  <Company>Northern Territory Government</Company>
  <LinksUpToDate>false</LinksUpToDate>
  <CharactersWithSpaces>55432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Essential System Services in the Northern Territory’s Regulated Electricity Systems</dc:title>
  <dc:subject>Issues paper</dc:subject>
  <dc:creator>Northern Territory Government</dc:creator>
  <cp:lastModifiedBy>Marlene Woods</cp:lastModifiedBy>
  <cp:revision>84</cp:revision>
  <cp:lastPrinted>2020-06-11T05:45:00Z</cp:lastPrinted>
  <dcterms:created xsi:type="dcterms:W3CDTF">2020-06-02T00:45:00Z</dcterms:created>
  <dcterms:modified xsi:type="dcterms:W3CDTF">2020-06-11T06:20:00Z</dcterms:modified>
</cp:coreProperties>
</file>