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Title"/>
        <w:id w:val="-509987125"/>
        <w:lock w:val="sdtLocked"/>
        <w:placeholder>
          <w:docPart w:val="059E82C88A4943B5B71088A57D3981B9"/>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65A054C8" w14:textId="37E5D46E" w:rsidR="00886C9D" w:rsidRPr="00886C9D" w:rsidRDefault="007E0B5A" w:rsidP="00886C9D">
          <w:pPr>
            <w:pStyle w:val="Title"/>
          </w:pPr>
          <w:r>
            <w:t>NTEM</w:t>
          </w:r>
          <w:r w:rsidR="002130D5" w:rsidRPr="002324E3">
            <w:t xml:space="preserve"> Pri</w:t>
          </w:r>
          <w:r>
            <w:t xml:space="preserve">ority Reform Program: </w:t>
          </w:r>
          <w:r w:rsidR="003E606A">
            <w:t>Review of e</w:t>
          </w:r>
          <w:r>
            <w:t>ssential system services</w:t>
          </w:r>
        </w:p>
      </w:sdtContent>
    </w:sdt>
    <w:p w14:paraId="52E16674" w14:textId="6E401584" w:rsidR="00AC1E7E" w:rsidRDefault="001127C9" w:rsidP="00E77ACA">
      <w:pPr>
        <w:pStyle w:val="Subtitle0"/>
      </w:pPr>
      <w:r>
        <w:t xml:space="preserve">Draft </w:t>
      </w:r>
      <w:r w:rsidR="002130D5">
        <w:t>Position Paper</w:t>
      </w:r>
      <w:r w:rsidR="007E0B5A" w:rsidDel="002130D5">
        <w:t xml:space="preserve"> </w:t>
      </w:r>
    </w:p>
    <w:p w14:paraId="2C245C44" w14:textId="475BA026" w:rsidR="00AC1E7E" w:rsidRPr="00E77ACA" w:rsidRDefault="007653B9" w:rsidP="00E77ACA">
      <w:pPr>
        <w:pStyle w:val="Subtitle0"/>
        <w:sectPr w:rsidR="00AC1E7E" w:rsidRPr="00E77ACA" w:rsidSect="00FA64B4">
          <w:headerReference w:type="default" r:id="rId9"/>
          <w:footerReference w:type="default" r:id="rId10"/>
          <w:headerReference w:type="first" r:id="rId11"/>
          <w:footerReference w:type="first" r:id="rId12"/>
          <w:pgSz w:w="11906" w:h="16838" w:code="9"/>
          <w:pgMar w:top="243" w:right="794" w:bottom="794" w:left="794" w:header="794" w:footer="794" w:gutter="0"/>
          <w:cols w:space="708"/>
          <w:titlePg/>
          <w:docGrid w:linePitch="360"/>
        </w:sectPr>
      </w:pPr>
      <w:r>
        <w:t>January</w:t>
      </w:r>
      <w:r w:rsidR="00AC1E7E">
        <w:t xml:space="preserve"> 202</w:t>
      </w:r>
      <w:r w:rsidR="00FB2629">
        <w:t>1</w:t>
      </w:r>
    </w:p>
    <w:p w14:paraId="225F2C4F" w14:textId="21E3FEED" w:rsidR="00E56FB5" w:rsidRPr="00ED2F2C" w:rsidRDefault="00E56FB5" w:rsidP="00E56FB5">
      <w:r w:rsidRPr="00901DCB">
        <w:lastRenderedPageBreak/>
        <w:t xml:space="preserve">Published by the </w:t>
      </w:r>
      <w:r w:rsidR="00CE0480">
        <w:t>Northern Territory Government</w:t>
      </w:r>
      <w:r w:rsidRPr="00901DCB">
        <w:t>.</w:t>
      </w:r>
      <w:r w:rsidRPr="00ED2F2C">
        <w:t xml:space="preserve"> </w:t>
      </w:r>
      <w:r w:rsidRPr="00901DCB">
        <w:t xml:space="preserve">Apart from any use permitted under the </w:t>
      </w:r>
      <w:r w:rsidRPr="00901DCB">
        <w:rPr>
          <w:i/>
        </w:rPr>
        <w:t>Copyright Act</w:t>
      </w:r>
      <w:r w:rsidRPr="00901DCB">
        <w:t xml:space="preserve">, no part of this document may be reproduced without prior written permission from the Northern Territory Government through the Department of </w:t>
      </w:r>
      <w:r w:rsidR="003C0FB3">
        <w:t>Industry, Tourism and Trade.</w:t>
      </w:r>
    </w:p>
    <w:p w14:paraId="2B4F562C" w14:textId="77777777" w:rsidR="00F912A9" w:rsidRDefault="00F912A9" w:rsidP="00702D61"/>
    <w:p w14:paraId="1FE7B6CA" w14:textId="6015512E" w:rsidR="00F912A9" w:rsidRDefault="00F912A9">
      <w:r>
        <w:br w:type="page"/>
      </w:r>
    </w:p>
    <w:p w14:paraId="2CD82927" w14:textId="633AD7ED" w:rsidR="00F912A9" w:rsidRDefault="00F912A9" w:rsidP="00A7565D">
      <w:pPr>
        <w:pStyle w:val="Heading1"/>
        <w:numPr>
          <w:ilvl w:val="0"/>
          <w:numId w:val="0"/>
        </w:numPr>
      </w:pPr>
      <w:r w:rsidRPr="00D9724C">
        <w:lastRenderedPageBreak/>
        <w:t>Summary</w:t>
      </w:r>
    </w:p>
    <w:p w14:paraId="50E7196F" w14:textId="4ADB7FC0" w:rsidR="00F912A9" w:rsidRDefault="00D84589" w:rsidP="00F912A9">
      <w:pPr>
        <w:rPr>
          <w:rFonts w:asciiTheme="minorHAnsi" w:hAnsiTheme="minorHAnsi" w:cs="Arial"/>
        </w:rPr>
      </w:pPr>
      <w:r>
        <w:rPr>
          <w:rFonts w:asciiTheme="minorHAnsi" w:hAnsiTheme="minorHAnsi" w:cs="Arial"/>
        </w:rPr>
        <w:t xml:space="preserve">In line with </w:t>
      </w:r>
      <w:r w:rsidR="00B871DB">
        <w:rPr>
          <w:rFonts w:asciiTheme="minorHAnsi" w:hAnsiTheme="minorHAnsi" w:cs="Arial"/>
        </w:rPr>
        <w:t>the</w:t>
      </w:r>
      <w:r w:rsidR="000C4DD8">
        <w:rPr>
          <w:rFonts w:asciiTheme="minorHAnsi" w:hAnsiTheme="minorHAnsi" w:cs="Arial"/>
        </w:rPr>
        <w:t xml:space="preserve"> scope outlined in the Review Issues Paper published in July 2020, </w:t>
      </w:r>
      <w:r>
        <w:rPr>
          <w:rFonts w:asciiTheme="minorHAnsi" w:hAnsiTheme="minorHAnsi" w:cs="Arial"/>
        </w:rPr>
        <w:t xml:space="preserve">the Design Development Team has reviewed the arrangements for the provision of essential system services in the </w:t>
      </w:r>
      <w:r w:rsidR="00DA2687">
        <w:rPr>
          <w:rFonts w:asciiTheme="minorHAnsi" w:hAnsiTheme="minorHAnsi" w:cs="Arial"/>
        </w:rPr>
        <w:t>Northern Territory</w:t>
      </w:r>
      <w:r>
        <w:rPr>
          <w:rFonts w:asciiTheme="minorHAnsi" w:hAnsiTheme="minorHAnsi" w:cs="Arial"/>
        </w:rPr>
        <w:t xml:space="preserve">’s regulated </w:t>
      </w:r>
      <w:r w:rsidR="00DA2687">
        <w:rPr>
          <w:rFonts w:asciiTheme="minorHAnsi" w:hAnsiTheme="minorHAnsi" w:cs="Arial"/>
        </w:rPr>
        <w:t>power</w:t>
      </w:r>
      <w:r>
        <w:rPr>
          <w:rFonts w:asciiTheme="minorHAnsi" w:hAnsiTheme="minorHAnsi" w:cs="Arial"/>
        </w:rPr>
        <w:t xml:space="preserve"> systems</w:t>
      </w:r>
      <w:r w:rsidR="00DA2687">
        <w:rPr>
          <w:rFonts w:asciiTheme="minorHAnsi" w:hAnsiTheme="minorHAnsi" w:cs="Arial"/>
        </w:rPr>
        <w:t xml:space="preserve"> </w:t>
      </w:r>
      <w:r w:rsidR="00DA2687" w:rsidRPr="009A2EBB">
        <w:rPr>
          <w:rFonts w:asciiTheme="minorHAnsi" w:hAnsiTheme="minorHAnsi" w:cs="Arial"/>
        </w:rPr>
        <w:t>(Darwin-Katherine, A</w:t>
      </w:r>
      <w:r w:rsidR="00DA2687">
        <w:rPr>
          <w:rFonts w:asciiTheme="minorHAnsi" w:hAnsiTheme="minorHAnsi" w:cs="Arial"/>
        </w:rPr>
        <w:t>lice Springs and Tennant Creek)</w:t>
      </w:r>
      <w:r>
        <w:rPr>
          <w:rFonts w:asciiTheme="minorHAnsi" w:hAnsiTheme="minorHAnsi" w:cs="Arial"/>
        </w:rPr>
        <w:t xml:space="preserve"> and </w:t>
      </w:r>
      <w:r w:rsidR="00FE05BD">
        <w:rPr>
          <w:rFonts w:asciiTheme="minorHAnsi" w:hAnsiTheme="minorHAnsi" w:cs="Arial"/>
        </w:rPr>
        <w:t>developed a se</w:t>
      </w:r>
      <w:r w:rsidR="00783419">
        <w:rPr>
          <w:rFonts w:asciiTheme="minorHAnsi" w:hAnsiTheme="minorHAnsi" w:cs="Arial"/>
        </w:rPr>
        <w:t xml:space="preserve">ries of draft proposals for </w:t>
      </w:r>
      <w:r w:rsidR="00DA2687">
        <w:rPr>
          <w:rFonts w:asciiTheme="minorHAnsi" w:hAnsiTheme="minorHAnsi" w:cs="Arial"/>
        </w:rPr>
        <w:t>stakeholder feedback and advice</w:t>
      </w:r>
      <w:r w:rsidR="00FE05BD">
        <w:rPr>
          <w:rFonts w:asciiTheme="minorHAnsi" w:hAnsiTheme="minorHAnsi" w:cs="Arial"/>
        </w:rPr>
        <w:t>.</w:t>
      </w:r>
    </w:p>
    <w:p w14:paraId="205FAF90" w14:textId="333F880D" w:rsidR="00D84589" w:rsidRDefault="00D84589" w:rsidP="00F912A9">
      <w:pPr>
        <w:rPr>
          <w:rFonts w:asciiTheme="minorHAnsi" w:hAnsiTheme="minorHAnsi" w:cs="Arial"/>
        </w:rPr>
      </w:pPr>
      <w:r>
        <w:rPr>
          <w:rFonts w:asciiTheme="minorHAnsi" w:hAnsiTheme="minorHAnsi" w:cs="Arial"/>
        </w:rPr>
        <w:t>I</w:t>
      </w:r>
      <w:r w:rsidR="003D1D72">
        <w:rPr>
          <w:rFonts w:asciiTheme="minorHAnsi" w:hAnsiTheme="minorHAnsi" w:cs="Arial"/>
        </w:rPr>
        <w:t>n developing its draft proposals</w:t>
      </w:r>
      <w:r>
        <w:rPr>
          <w:rFonts w:asciiTheme="minorHAnsi" w:hAnsiTheme="minorHAnsi" w:cs="Arial"/>
        </w:rPr>
        <w:t>, the Design Development Team has considered submissions to the review Issues Paper published in July 202</w:t>
      </w:r>
      <w:r w:rsidR="00FE05BD">
        <w:rPr>
          <w:rFonts w:asciiTheme="minorHAnsi" w:hAnsiTheme="minorHAnsi" w:cs="Arial"/>
        </w:rPr>
        <w:t>0 and sought expert advice from engineering and economic consultants.</w:t>
      </w:r>
    </w:p>
    <w:p w14:paraId="398DE42C" w14:textId="03077169" w:rsidR="003926E3" w:rsidRPr="00A7565D" w:rsidRDefault="00FE05BD" w:rsidP="00A7565D">
      <w:pPr>
        <w:pStyle w:val="Heading2"/>
        <w:numPr>
          <w:ilvl w:val="0"/>
          <w:numId w:val="0"/>
        </w:numPr>
      </w:pPr>
      <w:r w:rsidRPr="00A7565D">
        <w:t>Service types</w:t>
      </w:r>
      <w:r w:rsidR="003C6064" w:rsidRPr="00A7565D">
        <w:t xml:space="preserve"> and responsibility</w:t>
      </w:r>
    </w:p>
    <w:p w14:paraId="4EA31373" w14:textId="09C40BD2" w:rsidR="000C4DD8" w:rsidRDefault="000C4DD8" w:rsidP="003926E3">
      <w:pPr>
        <w:rPr>
          <w:rFonts w:asciiTheme="minorHAnsi" w:hAnsiTheme="minorHAnsi" w:cs="Arial"/>
        </w:rPr>
      </w:pPr>
      <w:r>
        <w:rPr>
          <w:rFonts w:asciiTheme="minorHAnsi" w:hAnsiTheme="minorHAnsi" w:cs="Arial"/>
        </w:rPr>
        <w:t>The types of essential system services currently enacted in the System Secure Guidelines</w:t>
      </w:r>
      <w:r w:rsidR="003D1D72">
        <w:rPr>
          <w:rFonts w:asciiTheme="minorHAnsi" w:hAnsiTheme="minorHAnsi" w:cs="Arial"/>
        </w:rPr>
        <w:t xml:space="preserve"> (SSG)</w:t>
      </w:r>
      <w:r>
        <w:rPr>
          <w:rFonts w:asciiTheme="minorHAnsi" w:hAnsiTheme="minorHAnsi" w:cs="Arial"/>
        </w:rPr>
        <w:t xml:space="preserve">, spinning reserve and </w:t>
      </w:r>
      <w:r w:rsidR="00783419">
        <w:rPr>
          <w:rFonts w:asciiTheme="minorHAnsi" w:hAnsiTheme="minorHAnsi" w:cs="Arial"/>
        </w:rPr>
        <w:t>regulating frequency management services, are</w:t>
      </w:r>
      <w:r w:rsidR="003D1D72">
        <w:rPr>
          <w:rFonts w:asciiTheme="minorHAnsi" w:hAnsiTheme="minorHAnsi" w:cs="Arial"/>
        </w:rPr>
        <w:t xml:space="preserve"> in and by themselves</w:t>
      </w:r>
      <w:r w:rsidR="00783419">
        <w:rPr>
          <w:rFonts w:asciiTheme="minorHAnsi" w:hAnsiTheme="minorHAnsi" w:cs="Arial"/>
        </w:rPr>
        <w:t xml:space="preserve"> not suitable to meet the</w:t>
      </w:r>
      <w:r w:rsidR="003D1D72">
        <w:rPr>
          <w:rFonts w:asciiTheme="minorHAnsi" w:hAnsiTheme="minorHAnsi" w:cs="Arial"/>
        </w:rPr>
        <w:t xml:space="preserve"> future requirements of the</w:t>
      </w:r>
      <w:r w:rsidR="00783419">
        <w:rPr>
          <w:rFonts w:asciiTheme="minorHAnsi" w:hAnsiTheme="minorHAnsi" w:cs="Arial"/>
        </w:rPr>
        <w:t xml:space="preserve"> NT regulated systems. </w:t>
      </w:r>
      <w:r>
        <w:rPr>
          <w:rFonts w:asciiTheme="minorHAnsi" w:hAnsiTheme="minorHAnsi" w:cs="Arial"/>
        </w:rPr>
        <w:t>Altho</w:t>
      </w:r>
      <w:r w:rsidR="00783419">
        <w:rPr>
          <w:rFonts w:asciiTheme="minorHAnsi" w:hAnsiTheme="minorHAnsi" w:cs="Arial"/>
        </w:rPr>
        <w:t>ugh the SSG</w:t>
      </w:r>
      <w:r>
        <w:rPr>
          <w:rFonts w:asciiTheme="minorHAnsi" w:hAnsiTheme="minorHAnsi" w:cs="Arial"/>
        </w:rPr>
        <w:t xml:space="preserve"> make</w:t>
      </w:r>
      <w:r w:rsidR="00783419">
        <w:rPr>
          <w:rFonts w:asciiTheme="minorHAnsi" w:hAnsiTheme="minorHAnsi" w:cs="Arial"/>
        </w:rPr>
        <w:t>s</w:t>
      </w:r>
      <w:r w:rsidR="003D1D72">
        <w:rPr>
          <w:rFonts w:asciiTheme="minorHAnsi" w:hAnsiTheme="minorHAnsi" w:cs="Arial"/>
        </w:rPr>
        <w:t xml:space="preserve"> provision for</w:t>
      </w:r>
      <w:r w:rsidRPr="000C4DD8">
        <w:rPr>
          <w:rFonts w:asciiTheme="minorHAnsi" w:hAnsiTheme="minorHAnsi" w:cs="Arial"/>
        </w:rPr>
        <w:t xml:space="preserve"> a variety of </w:t>
      </w:r>
      <w:r w:rsidR="00783419">
        <w:rPr>
          <w:rFonts w:asciiTheme="minorHAnsi" w:hAnsiTheme="minorHAnsi" w:cs="Arial"/>
        </w:rPr>
        <w:t>other appropriate</w:t>
      </w:r>
      <w:r w:rsidR="003D1D72">
        <w:rPr>
          <w:rFonts w:asciiTheme="minorHAnsi" w:hAnsiTheme="minorHAnsi" w:cs="Arial"/>
        </w:rPr>
        <w:t xml:space="preserve"> types of</w:t>
      </w:r>
      <w:r w:rsidR="00783419">
        <w:rPr>
          <w:rFonts w:asciiTheme="minorHAnsi" w:hAnsiTheme="minorHAnsi" w:cs="Arial"/>
        </w:rPr>
        <w:t xml:space="preserve"> </w:t>
      </w:r>
      <w:r w:rsidRPr="000C4DD8">
        <w:rPr>
          <w:rFonts w:asciiTheme="minorHAnsi" w:hAnsiTheme="minorHAnsi" w:cs="Arial"/>
        </w:rPr>
        <w:t>essential system service</w:t>
      </w:r>
      <w:r w:rsidR="003D1D72">
        <w:rPr>
          <w:rFonts w:asciiTheme="minorHAnsi" w:hAnsiTheme="minorHAnsi" w:cs="Arial"/>
        </w:rPr>
        <w:t>s</w:t>
      </w:r>
      <w:r w:rsidRPr="000C4DD8">
        <w:rPr>
          <w:rFonts w:asciiTheme="minorHAnsi" w:hAnsiTheme="minorHAnsi" w:cs="Arial"/>
        </w:rPr>
        <w:t xml:space="preserve">, </w:t>
      </w:r>
      <w:r w:rsidR="00945D12">
        <w:rPr>
          <w:rFonts w:asciiTheme="minorHAnsi" w:hAnsiTheme="minorHAnsi" w:cs="Arial"/>
        </w:rPr>
        <w:t xml:space="preserve">to date </w:t>
      </w:r>
      <w:r w:rsidR="00B871DB">
        <w:rPr>
          <w:rFonts w:asciiTheme="minorHAnsi" w:hAnsiTheme="minorHAnsi" w:cs="Arial"/>
        </w:rPr>
        <w:t>these services have</w:t>
      </w:r>
      <w:r w:rsidR="00783419">
        <w:rPr>
          <w:rFonts w:asciiTheme="minorHAnsi" w:hAnsiTheme="minorHAnsi" w:cs="Arial"/>
        </w:rPr>
        <w:t xml:space="preserve"> not</w:t>
      </w:r>
      <w:r w:rsidR="00B871DB">
        <w:rPr>
          <w:rFonts w:asciiTheme="minorHAnsi" w:hAnsiTheme="minorHAnsi" w:cs="Arial"/>
        </w:rPr>
        <w:t xml:space="preserve"> been</w:t>
      </w:r>
      <w:r w:rsidR="00783419">
        <w:rPr>
          <w:rFonts w:asciiTheme="minorHAnsi" w:hAnsiTheme="minorHAnsi" w:cs="Arial"/>
        </w:rPr>
        <w:t xml:space="preserve"> enacted.</w:t>
      </w:r>
    </w:p>
    <w:p w14:paraId="6B00E98D" w14:textId="0DD570AD" w:rsidR="003C6064" w:rsidRDefault="00D84589" w:rsidP="003926E3">
      <w:pPr>
        <w:rPr>
          <w:rFonts w:asciiTheme="minorHAnsi" w:hAnsiTheme="minorHAnsi" w:cs="Arial"/>
        </w:rPr>
      </w:pPr>
      <w:r>
        <w:rPr>
          <w:rFonts w:asciiTheme="minorHAnsi" w:hAnsiTheme="minorHAnsi" w:cs="Arial"/>
        </w:rPr>
        <w:t>The</w:t>
      </w:r>
      <w:r w:rsidR="003926E3" w:rsidRPr="00B26F84">
        <w:rPr>
          <w:rFonts w:asciiTheme="minorHAnsi" w:hAnsiTheme="minorHAnsi" w:cs="Arial"/>
        </w:rPr>
        <w:t xml:space="preserve"> Design Development Team proposes that the set of essential syste</w:t>
      </w:r>
      <w:r>
        <w:rPr>
          <w:rFonts w:asciiTheme="minorHAnsi" w:hAnsiTheme="minorHAnsi" w:cs="Arial"/>
        </w:rPr>
        <w:t>m services outlined in Table A</w:t>
      </w:r>
      <w:r w:rsidR="003926E3" w:rsidRPr="00B26F84">
        <w:rPr>
          <w:rFonts w:asciiTheme="minorHAnsi" w:hAnsiTheme="minorHAnsi" w:cs="Arial"/>
        </w:rPr>
        <w:t xml:space="preserve"> apply across the</w:t>
      </w:r>
      <w:r w:rsidR="00E30151">
        <w:rPr>
          <w:rFonts w:asciiTheme="minorHAnsi" w:hAnsiTheme="minorHAnsi" w:cs="Arial"/>
        </w:rPr>
        <w:t xml:space="preserve"> NT</w:t>
      </w:r>
      <w:r w:rsidR="003926E3" w:rsidRPr="00B26F84">
        <w:rPr>
          <w:rFonts w:asciiTheme="minorHAnsi" w:hAnsiTheme="minorHAnsi" w:cs="Arial"/>
        </w:rPr>
        <w:t xml:space="preserve"> regulated power systems. The</w:t>
      </w:r>
      <w:r w:rsidR="003D1D72">
        <w:rPr>
          <w:rFonts w:asciiTheme="minorHAnsi" w:hAnsiTheme="minorHAnsi" w:cs="Arial"/>
        </w:rPr>
        <w:t>se</w:t>
      </w:r>
      <w:r w:rsidR="003926E3" w:rsidRPr="00B26F84">
        <w:rPr>
          <w:rFonts w:asciiTheme="minorHAnsi" w:hAnsiTheme="minorHAnsi" w:cs="Arial"/>
        </w:rPr>
        <w:t xml:space="preserve"> services have been selected to be technology neutral, and alignment across the NT regulated systems will enhance clarity about the services and their requirements. </w:t>
      </w:r>
    </w:p>
    <w:p w14:paraId="03AC3A76" w14:textId="77777777" w:rsidR="00405D39" w:rsidRDefault="00405D39" w:rsidP="00405D39">
      <w:pPr>
        <w:rPr>
          <w:rFonts w:asciiTheme="minorHAnsi" w:hAnsiTheme="minorHAnsi" w:cs="Arial"/>
        </w:rPr>
      </w:pPr>
      <w:r>
        <w:rPr>
          <w:rFonts w:asciiTheme="minorHAnsi" w:hAnsiTheme="minorHAnsi" w:cs="Arial"/>
        </w:rPr>
        <w:t>Procurement of services which have a system-wide requirement should be the responsibility of the System Controller.</w:t>
      </w:r>
    </w:p>
    <w:p w14:paraId="014B6F8D" w14:textId="5623A306" w:rsidR="00405D39" w:rsidRDefault="00405D39" w:rsidP="00405D39">
      <w:pPr>
        <w:rPr>
          <w:rFonts w:asciiTheme="minorHAnsi" w:hAnsiTheme="minorHAnsi" w:cs="Arial"/>
        </w:rPr>
      </w:pPr>
      <w:r>
        <w:rPr>
          <w:rFonts w:asciiTheme="minorHAnsi" w:hAnsiTheme="minorHAnsi" w:cs="Arial"/>
        </w:rPr>
        <w:t>Procurement of services which have a locational requirement, and for which network augmentation may be an alternative, should be the responsibility of the Network Operator. The Network Operator should</w:t>
      </w:r>
      <w:r w:rsidRPr="002A40DE">
        <w:rPr>
          <w:rFonts w:asciiTheme="minorHAnsi" w:hAnsiTheme="minorHAnsi" w:cs="Arial"/>
        </w:rPr>
        <w:t xml:space="preserve"> advis</w:t>
      </w:r>
      <w:r>
        <w:rPr>
          <w:rFonts w:asciiTheme="minorHAnsi" w:hAnsiTheme="minorHAnsi" w:cs="Arial"/>
        </w:rPr>
        <w:t>e the System Controller of any voltage m</w:t>
      </w:r>
      <w:r w:rsidRPr="002A40DE">
        <w:rPr>
          <w:rFonts w:asciiTheme="minorHAnsi" w:hAnsiTheme="minorHAnsi" w:cs="Arial"/>
        </w:rPr>
        <w:t>anag</w:t>
      </w:r>
      <w:r>
        <w:rPr>
          <w:rFonts w:asciiTheme="minorHAnsi" w:hAnsiTheme="minorHAnsi" w:cs="Arial"/>
        </w:rPr>
        <w:t>ement/network support and system s</w:t>
      </w:r>
      <w:r w:rsidRPr="002A40DE">
        <w:rPr>
          <w:rFonts w:asciiTheme="minorHAnsi" w:hAnsiTheme="minorHAnsi" w:cs="Arial"/>
        </w:rPr>
        <w:t>trength contracts with details it needs for dispatch purposes.</w:t>
      </w:r>
    </w:p>
    <w:p w14:paraId="46032DEB" w14:textId="77777777" w:rsidR="00405D39" w:rsidRPr="00B26F84" w:rsidRDefault="00405D39" w:rsidP="00405D39">
      <w:pPr>
        <w:rPr>
          <w:rFonts w:asciiTheme="minorHAnsi" w:hAnsiTheme="minorHAnsi" w:cs="Arial"/>
        </w:rPr>
      </w:pPr>
      <w:r>
        <w:rPr>
          <w:rFonts w:asciiTheme="minorHAnsi" w:hAnsiTheme="minorHAnsi" w:cs="Arial"/>
        </w:rPr>
        <w:t>R</w:t>
      </w:r>
      <w:r w:rsidRPr="00B26F84">
        <w:rPr>
          <w:rFonts w:asciiTheme="minorHAnsi" w:hAnsiTheme="minorHAnsi" w:cs="Arial"/>
        </w:rPr>
        <w:t>egulatory arrangements should require the System Controller to develop and publish detailed descriptions of each type of essential system service and the performance parameters and requirements which must be satisfied in order for a service to qualify as the relevant essential system service.</w:t>
      </w:r>
    </w:p>
    <w:p w14:paraId="030564F8" w14:textId="77777777" w:rsidR="00405D39" w:rsidRPr="00B26F84" w:rsidRDefault="00405D39" w:rsidP="00405D39">
      <w:pPr>
        <w:rPr>
          <w:rFonts w:asciiTheme="minorHAnsi" w:hAnsiTheme="minorHAnsi" w:cs="Arial"/>
        </w:rPr>
      </w:pPr>
      <w:r>
        <w:rPr>
          <w:rFonts w:asciiTheme="minorHAnsi" w:hAnsiTheme="minorHAnsi" w:cs="Arial"/>
        </w:rPr>
        <w:t xml:space="preserve">Confidence to invest in the NT regulated systems would be enhanced if the types of essential system services for use in the NT regulated systems are codified, and changes to detailed descriptions, </w:t>
      </w:r>
      <w:r w:rsidRPr="00B26F84">
        <w:rPr>
          <w:rFonts w:asciiTheme="minorHAnsi" w:hAnsiTheme="minorHAnsi" w:cs="Arial"/>
        </w:rPr>
        <w:t>performance parameters and requirements</w:t>
      </w:r>
      <w:r>
        <w:rPr>
          <w:rFonts w:asciiTheme="minorHAnsi" w:hAnsiTheme="minorHAnsi" w:cs="Arial"/>
        </w:rPr>
        <w:t xml:space="preserve"> made by the System Controller are subject to the approval of the </w:t>
      </w:r>
      <w:r w:rsidRPr="00B26F84">
        <w:rPr>
          <w:rFonts w:asciiTheme="minorHAnsi" w:hAnsiTheme="minorHAnsi" w:cs="Arial"/>
        </w:rPr>
        <w:t>Utilities Commission</w:t>
      </w:r>
      <w:r>
        <w:rPr>
          <w:rFonts w:asciiTheme="minorHAnsi" w:hAnsiTheme="minorHAnsi" w:cs="Arial"/>
        </w:rPr>
        <w:t>.</w:t>
      </w:r>
    </w:p>
    <w:p w14:paraId="00FF3FCF" w14:textId="77777777" w:rsidR="00405D39" w:rsidRPr="00B26F84" w:rsidRDefault="00405D39" w:rsidP="00405D39">
      <w:pPr>
        <w:rPr>
          <w:rFonts w:asciiTheme="minorHAnsi" w:hAnsiTheme="minorHAnsi" w:cs="Arial"/>
        </w:rPr>
      </w:pPr>
      <w:r w:rsidRPr="00B26F84">
        <w:rPr>
          <w:rFonts w:asciiTheme="minorHAnsi" w:hAnsiTheme="minorHAnsi" w:cs="Arial"/>
        </w:rPr>
        <w:t>Where a shortfall in power system capability is identified resulting in a system security issue that cannot be managed through the planning timescale, the framework should allow the flexibility for the System Controller to define and procure additional essential system services on a time-limited basis where required and subject to the prior approval of the Utilities Commission.</w:t>
      </w:r>
    </w:p>
    <w:p w14:paraId="71418D1B" w14:textId="77777777" w:rsidR="00405D39" w:rsidRPr="00B26F84" w:rsidRDefault="00405D39" w:rsidP="003926E3">
      <w:pPr>
        <w:rPr>
          <w:rFonts w:asciiTheme="minorHAnsi" w:hAnsiTheme="minorHAnsi" w:cs="Arial"/>
        </w:rPr>
      </w:pPr>
    </w:p>
    <w:p w14:paraId="5FF29604" w14:textId="08A39620" w:rsidR="003926E3" w:rsidRPr="00A23B49" w:rsidRDefault="00D84589" w:rsidP="003926E3">
      <w:pPr>
        <w:keepNext/>
        <w:spacing w:after="0"/>
        <w:rPr>
          <w:rFonts w:asciiTheme="minorHAnsi" w:hAnsiTheme="minorHAnsi" w:cs="Arial"/>
          <w:b/>
        </w:rPr>
      </w:pPr>
      <w:r w:rsidRPr="00A23B49">
        <w:rPr>
          <w:rFonts w:asciiTheme="minorHAnsi" w:hAnsiTheme="minorHAnsi" w:cs="Arial"/>
          <w:b/>
        </w:rPr>
        <w:lastRenderedPageBreak/>
        <w:t xml:space="preserve">Table A </w:t>
      </w:r>
      <w:r w:rsidRPr="00A23B49">
        <w:rPr>
          <w:rFonts w:asciiTheme="minorHAnsi" w:hAnsiTheme="minorHAnsi" w:cs="Arial"/>
          <w:b/>
        </w:rPr>
        <w:tab/>
      </w:r>
      <w:r w:rsidR="003926E3" w:rsidRPr="00A23B49">
        <w:rPr>
          <w:rFonts w:asciiTheme="minorHAnsi" w:hAnsiTheme="minorHAnsi" w:cs="Arial"/>
          <w:b/>
        </w:rPr>
        <w:t xml:space="preserve">Proposed essential system service </w:t>
      </w:r>
      <w:r w:rsidR="00B871DB" w:rsidRPr="00A23B49">
        <w:rPr>
          <w:rFonts w:asciiTheme="minorHAnsi" w:hAnsiTheme="minorHAnsi" w:cs="Arial"/>
          <w:b/>
        </w:rPr>
        <w:t>types</w:t>
      </w:r>
      <w:r w:rsidR="003926E3" w:rsidRPr="00A23B49">
        <w:rPr>
          <w:rFonts w:asciiTheme="minorHAnsi" w:hAnsiTheme="minorHAnsi" w:cs="Arial"/>
          <w:b/>
        </w:rPr>
        <w:t xml:space="preserve"> </w:t>
      </w:r>
      <w:r w:rsidR="0099483B" w:rsidRPr="00A23B49">
        <w:rPr>
          <w:rFonts w:asciiTheme="minorHAnsi" w:hAnsiTheme="minorHAnsi" w:cs="Arial"/>
          <w:b/>
        </w:rPr>
        <w:t>—</w:t>
      </w:r>
      <w:r w:rsidR="003926E3" w:rsidRPr="00A23B49">
        <w:rPr>
          <w:rFonts w:asciiTheme="minorHAnsi" w:hAnsiTheme="minorHAnsi" w:cs="Arial"/>
          <w:b/>
        </w:rPr>
        <w:t xml:space="preserve"> NT regulated systems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5947"/>
        <w:gridCol w:w="1935"/>
      </w:tblGrid>
      <w:tr w:rsidR="001F0228" w:rsidRPr="008413D6" w14:paraId="492599EC" w14:textId="306B80B0" w:rsidTr="00A7565D">
        <w:trPr>
          <w:tblHeader/>
        </w:trPr>
        <w:tc>
          <w:tcPr>
            <w:tcW w:w="0" w:type="auto"/>
            <w:tcBorders>
              <w:top w:val="single" w:sz="4" w:space="0" w:color="auto"/>
              <w:bottom w:val="single" w:sz="4" w:space="0" w:color="auto"/>
            </w:tcBorders>
          </w:tcPr>
          <w:p w14:paraId="7871F808" w14:textId="77777777" w:rsidR="003C6064" w:rsidRPr="008413D6" w:rsidRDefault="003C6064" w:rsidP="00305A87">
            <w:pPr>
              <w:keepNext/>
              <w:spacing w:before="60" w:after="60"/>
              <w:rPr>
                <w:rFonts w:asciiTheme="minorHAnsi" w:hAnsiTheme="minorHAnsi"/>
                <w:b/>
              </w:rPr>
            </w:pPr>
            <w:r w:rsidRPr="008413D6">
              <w:rPr>
                <w:rFonts w:asciiTheme="minorHAnsi" w:hAnsiTheme="minorHAnsi"/>
                <w:b/>
              </w:rPr>
              <w:t>Essential system service</w:t>
            </w:r>
          </w:p>
        </w:tc>
        <w:tc>
          <w:tcPr>
            <w:tcW w:w="0" w:type="auto"/>
            <w:tcBorders>
              <w:top w:val="single" w:sz="4" w:space="0" w:color="auto"/>
              <w:bottom w:val="single" w:sz="4" w:space="0" w:color="auto"/>
            </w:tcBorders>
          </w:tcPr>
          <w:p w14:paraId="47455047" w14:textId="77777777" w:rsidR="003C6064" w:rsidRPr="008413D6" w:rsidRDefault="003C6064" w:rsidP="00305A87">
            <w:pPr>
              <w:keepNext/>
              <w:spacing w:before="60" w:after="60"/>
              <w:rPr>
                <w:rFonts w:asciiTheme="minorHAnsi" w:hAnsiTheme="minorHAnsi"/>
                <w:b/>
              </w:rPr>
            </w:pPr>
            <w:r w:rsidRPr="008413D6">
              <w:rPr>
                <w:rFonts w:asciiTheme="minorHAnsi" w:hAnsiTheme="minorHAnsi"/>
                <w:b/>
              </w:rPr>
              <w:t>Purpose</w:t>
            </w:r>
          </w:p>
        </w:tc>
        <w:tc>
          <w:tcPr>
            <w:tcW w:w="0" w:type="auto"/>
            <w:tcBorders>
              <w:top w:val="single" w:sz="4" w:space="0" w:color="auto"/>
              <w:bottom w:val="single" w:sz="4" w:space="0" w:color="auto"/>
            </w:tcBorders>
          </w:tcPr>
          <w:p w14:paraId="2734BE20" w14:textId="3872CF6C" w:rsidR="003C6064" w:rsidRPr="008413D6" w:rsidRDefault="001F0228" w:rsidP="00305A87">
            <w:pPr>
              <w:keepNext/>
              <w:spacing w:before="60" w:after="60"/>
              <w:rPr>
                <w:rFonts w:asciiTheme="minorHAnsi" w:hAnsiTheme="minorHAnsi"/>
                <w:b/>
              </w:rPr>
            </w:pPr>
            <w:r w:rsidRPr="008413D6">
              <w:rPr>
                <w:rFonts w:asciiTheme="minorHAnsi" w:hAnsiTheme="minorHAnsi"/>
                <w:b/>
              </w:rPr>
              <w:t>Procurement r</w:t>
            </w:r>
            <w:r w:rsidR="003C6064" w:rsidRPr="008413D6">
              <w:rPr>
                <w:rFonts w:asciiTheme="minorHAnsi" w:hAnsiTheme="minorHAnsi"/>
                <w:b/>
              </w:rPr>
              <w:t>esponsibility</w:t>
            </w:r>
          </w:p>
        </w:tc>
      </w:tr>
      <w:tr w:rsidR="001F0228" w:rsidRPr="008413D6" w14:paraId="68431678" w14:textId="2D6E9177" w:rsidTr="003C6064">
        <w:tc>
          <w:tcPr>
            <w:tcW w:w="0" w:type="auto"/>
            <w:tcBorders>
              <w:top w:val="single" w:sz="4" w:space="0" w:color="auto"/>
              <w:bottom w:val="single" w:sz="4" w:space="0" w:color="auto"/>
            </w:tcBorders>
          </w:tcPr>
          <w:p w14:paraId="428EBC50" w14:textId="77777777" w:rsidR="003C6064" w:rsidRPr="00A23B49" w:rsidRDefault="003C6064" w:rsidP="003926E3">
            <w:pPr>
              <w:keepNext/>
              <w:spacing w:before="60" w:after="60"/>
              <w:rPr>
                <w:rFonts w:asciiTheme="minorHAnsi" w:hAnsiTheme="minorHAnsi" w:cs="Arial"/>
              </w:rPr>
            </w:pPr>
            <w:r w:rsidRPr="00A23B49">
              <w:t>Rate of Change of Frequency (</w:t>
            </w:r>
            <w:proofErr w:type="spellStart"/>
            <w:r w:rsidRPr="00A23B49">
              <w:t>RoCoF</w:t>
            </w:r>
            <w:proofErr w:type="spellEnd"/>
            <w:r w:rsidRPr="00A23B49">
              <w:t>) Control</w:t>
            </w:r>
          </w:p>
        </w:tc>
        <w:tc>
          <w:tcPr>
            <w:tcW w:w="0" w:type="auto"/>
            <w:tcBorders>
              <w:top w:val="single" w:sz="4" w:space="0" w:color="auto"/>
              <w:bottom w:val="single" w:sz="4" w:space="0" w:color="auto"/>
            </w:tcBorders>
          </w:tcPr>
          <w:p w14:paraId="78DB3122" w14:textId="77777777" w:rsidR="003C6064" w:rsidRPr="00A23B49" w:rsidRDefault="003C6064" w:rsidP="00E02062">
            <w:pPr>
              <w:pStyle w:val="Body"/>
              <w:keepNext/>
              <w:numPr>
                <w:ilvl w:val="0"/>
                <w:numId w:val="15"/>
              </w:numPr>
              <w:spacing w:after="60" w:line="240" w:lineRule="auto"/>
              <w:ind w:left="342" w:hanging="342"/>
              <w:rPr>
                <w:rFonts w:asciiTheme="minorHAnsi" w:hAnsiTheme="minorHAnsi"/>
                <w:sz w:val="22"/>
                <w:szCs w:val="22"/>
              </w:rPr>
            </w:pPr>
            <w:r w:rsidRPr="00A23B49">
              <w:rPr>
                <w:rFonts w:asciiTheme="minorHAnsi" w:hAnsiTheme="minorHAnsi"/>
                <w:sz w:val="22"/>
                <w:szCs w:val="22"/>
              </w:rPr>
              <w:t xml:space="preserve">Control maximum </w:t>
            </w:r>
            <w:proofErr w:type="spellStart"/>
            <w:r w:rsidRPr="00A23B49">
              <w:rPr>
                <w:rFonts w:asciiTheme="minorHAnsi" w:hAnsiTheme="minorHAnsi"/>
                <w:sz w:val="22"/>
                <w:szCs w:val="22"/>
              </w:rPr>
              <w:t>RoCoF</w:t>
            </w:r>
            <w:proofErr w:type="spellEnd"/>
            <w:r w:rsidRPr="00A23B49">
              <w:rPr>
                <w:rFonts w:asciiTheme="minorHAnsi" w:hAnsiTheme="minorHAnsi"/>
                <w:sz w:val="22"/>
                <w:szCs w:val="22"/>
              </w:rPr>
              <w:t xml:space="preserve"> on power systems.</w:t>
            </w:r>
          </w:p>
          <w:p w14:paraId="0BF8F105" w14:textId="77777777" w:rsidR="003C6064" w:rsidRPr="00A23B49" w:rsidRDefault="003C6064" w:rsidP="00E02062">
            <w:pPr>
              <w:pStyle w:val="Body"/>
              <w:keepNext/>
              <w:numPr>
                <w:ilvl w:val="0"/>
                <w:numId w:val="15"/>
              </w:numPr>
              <w:spacing w:after="60" w:line="240" w:lineRule="auto"/>
              <w:ind w:left="342" w:hanging="342"/>
              <w:rPr>
                <w:rFonts w:ascii="Lato" w:hAnsi="Lato" w:cs="Arial"/>
                <w:sz w:val="22"/>
                <w:szCs w:val="22"/>
              </w:rPr>
            </w:pPr>
            <w:r w:rsidRPr="00A23B49">
              <w:rPr>
                <w:rFonts w:asciiTheme="minorHAnsi" w:hAnsiTheme="minorHAnsi"/>
                <w:sz w:val="22"/>
                <w:szCs w:val="22"/>
              </w:rPr>
              <w:t>Ensure system security for credible contingency events and ‘protected events’.</w:t>
            </w:r>
          </w:p>
        </w:tc>
        <w:tc>
          <w:tcPr>
            <w:tcW w:w="0" w:type="auto"/>
            <w:tcBorders>
              <w:top w:val="single" w:sz="4" w:space="0" w:color="auto"/>
              <w:bottom w:val="single" w:sz="4" w:space="0" w:color="auto"/>
            </w:tcBorders>
          </w:tcPr>
          <w:p w14:paraId="05CF52C8" w14:textId="350EA4CC" w:rsidR="003C6064" w:rsidRPr="00A23B49" w:rsidRDefault="003C6064" w:rsidP="003C6064">
            <w:pPr>
              <w:pStyle w:val="Body"/>
              <w:keepNext/>
              <w:spacing w:after="60" w:line="240" w:lineRule="auto"/>
              <w:rPr>
                <w:rFonts w:asciiTheme="minorHAnsi" w:hAnsiTheme="minorHAnsi"/>
                <w:sz w:val="22"/>
                <w:szCs w:val="22"/>
              </w:rPr>
            </w:pPr>
            <w:r w:rsidRPr="00A23B49">
              <w:rPr>
                <w:rFonts w:asciiTheme="minorHAnsi" w:hAnsiTheme="minorHAnsi"/>
                <w:sz w:val="22"/>
                <w:szCs w:val="22"/>
              </w:rPr>
              <w:t>System Controller</w:t>
            </w:r>
          </w:p>
        </w:tc>
      </w:tr>
      <w:tr w:rsidR="001F0228" w:rsidRPr="008413D6" w14:paraId="15019E06" w14:textId="7DA7803E" w:rsidTr="003C6064">
        <w:tc>
          <w:tcPr>
            <w:tcW w:w="0" w:type="auto"/>
            <w:tcBorders>
              <w:top w:val="single" w:sz="4" w:space="0" w:color="auto"/>
              <w:bottom w:val="single" w:sz="4" w:space="0" w:color="auto"/>
            </w:tcBorders>
          </w:tcPr>
          <w:p w14:paraId="70C1E8A3" w14:textId="77777777" w:rsidR="003C6064" w:rsidRPr="00A23B49" w:rsidRDefault="003C6064" w:rsidP="003926E3">
            <w:pPr>
              <w:keepNext/>
              <w:spacing w:before="60" w:after="60"/>
              <w:rPr>
                <w:rFonts w:asciiTheme="minorHAnsi" w:hAnsiTheme="minorHAnsi" w:cs="Arial"/>
              </w:rPr>
            </w:pPr>
            <w:r w:rsidRPr="00A23B49">
              <w:t>Contingency frequency control (raise)</w:t>
            </w:r>
          </w:p>
        </w:tc>
        <w:tc>
          <w:tcPr>
            <w:tcW w:w="0" w:type="auto"/>
            <w:tcBorders>
              <w:top w:val="single" w:sz="4" w:space="0" w:color="auto"/>
              <w:bottom w:val="single" w:sz="4" w:space="0" w:color="auto"/>
            </w:tcBorders>
          </w:tcPr>
          <w:p w14:paraId="5A069665" w14:textId="77777777" w:rsidR="003C6064" w:rsidRPr="00A23B49" w:rsidRDefault="003C6064" w:rsidP="00E02062">
            <w:pPr>
              <w:pStyle w:val="Body"/>
              <w:keepNext/>
              <w:numPr>
                <w:ilvl w:val="0"/>
                <w:numId w:val="15"/>
              </w:numPr>
              <w:spacing w:after="60" w:line="240" w:lineRule="auto"/>
              <w:ind w:left="342" w:hanging="342"/>
              <w:rPr>
                <w:rFonts w:asciiTheme="minorHAnsi" w:hAnsiTheme="minorHAnsi"/>
                <w:sz w:val="22"/>
                <w:szCs w:val="22"/>
              </w:rPr>
            </w:pPr>
            <w:r w:rsidRPr="00A23B49">
              <w:rPr>
                <w:rFonts w:asciiTheme="minorHAnsi" w:hAnsiTheme="minorHAnsi"/>
                <w:sz w:val="22"/>
                <w:szCs w:val="22"/>
              </w:rPr>
              <w:t>Stabilise frequency within ‘emergency’ defined operating band after a credible contingency resulting in the net disconnection of generation.</w:t>
            </w:r>
          </w:p>
          <w:p w14:paraId="49C49129" w14:textId="06C2FCCE" w:rsidR="003C6064" w:rsidRPr="00A23B49" w:rsidRDefault="003C6064" w:rsidP="00E02062">
            <w:pPr>
              <w:pStyle w:val="Body"/>
              <w:keepNext/>
              <w:numPr>
                <w:ilvl w:val="0"/>
                <w:numId w:val="15"/>
              </w:numPr>
              <w:spacing w:after="60" w:line="240" w:lineRule="auto"/>
              <w:ind w:left="342" w:hanging="342"/>
              <w:rPr>
                <w:rFonts w:asciiTheme="minorHAnsi" w:hAnsiTheme="minorHAnsi" w:cs="Arial"/>
                <w:sz w:val="22"/>
                <w:szCs w:val="22"/>
              </w:rPr>
            </w:pPr>
            <w:r w:rsidRPr="00A23B49">
              <w:rPr>
                <w:rFonts w:asciiTheme="minorHAnsi" w:hAnsiTheme="minorHAnsi"/>
                <w:sz w:val="22"/>
                <w:szCs w:val="22"/>
              </w:rPr>
              <w:t xml:space="preserve">Ensure system security without </w:t>
            </w:r>
            <w:r w:rsidR="00B871DB" w:rsidRPr="00A23B49">
              <w:rPr>
                <w:rFonts w:asciiTheme="minorHAnsi" w:hAnsiTheme="minorHAnsi"/>
                <w:sz w:val="22"/>
                <w:szCs w:val="22"/>
              </w:rPr>
              <w:t>Under Frequency Load Shedding</w:t>
            </w:r>
            <w:r w:rsidRPr="00A23B49">
              <w:rPr>
                <w:rFonts w:asciiTheme="minorHAnsi" w:hAnsiTheme="minorHAnsi"/>
                <w:sz w:val="22"/>
                <w:szCs w:val="22"/>
              </w:rPr>
              <w:t xml:space="preserve"> for all credible contingency events.</w:t>
            </w:r>
          </w:p>
        </w:tc>
        <w:tc>
          <w:tcPr>
            <w:tcW w:w="0" w:type="auto"/>
            <w:tcBorders>
              <w:top w:val="single" w:sz="4" w:space="0" w:color="auto"/>
              <w:bottom w:val="single" w:sz="4" w:space="0" w:color="auto"/>
            </w:tcBorders>
          </w:tcPr>
          <w:p w14:paraId="1DEFD691" w14:textId="5C8ACAF3" w:rsidR="003C6064" w:rsidRPr="00A23B49" w:rsidRDefault="003C6064" w:rsidP="003C6064">
            <w:pPr>
              <w:pStyle w:val="Body"/>
              <w:keepNext/>
              <w:spacing w:after="60" w:line="240" w:lineRule="auto"/>
              <w:rPr>
                <w:rFonts w:asciiTheme="minorHAnsi" w:hAnsiTheme="minorHAnsi"/>
                <w:sz w:val="22"/>
                <w:szCs w:val="22"/>
              </w:rPr>
            </w:pPr>
            <w:r w:rsidRPr="00A23B49">
              <w:rPr>
                <w:rFonts w:asciiTheme="minorHAnsi" w:hAnsiTheme="minorHAnsi"/>
                <w:sz w:val="22"/>
                <w:szCs w:val="22"/>
              </w:rPr>
              <w:t>System Controller</w:t>
            </w:r>
          </w:p>
        </w:tc>
      </w:tr>
      <w:tr w:rsidR="001F0228" w:rsidRPr="008413D6" w14:paraId="2B55F266" w14:textId="15073EE3" w:rsidTr="003C6064">
        <w:tc>
          <w:tcPr>
            <w:tcW w:w="0" w:type="auto"/>
            <w:tcBorders>
              <w:top w:val="single" w:sz="4" w:space="0" w:color="auto"/>
              <w:bottom w:val="single" w:sz="4" w:space="0" w:color="auto"/>
            </w:tcBorders>
          </w:tcPr>
          <w:p w14:paraId="7A1814A2" w14:textId="77777777" w:rsidR="003C6064" w:rsidRPr="00A23B49" w:rsidRDefault="003C6064" w:rsidP="003926E3">
            <w:pPr>
              <w:keepNext/>
              <w:spacing w:before="60" w:after="60"/>
              <w:rPr>
                <w:rFonts w:asciiTheme="minorHAnsi" w:hAnsiTheme="minorHAnsi" w:cs="Arial"/>
              </w:rPr>
            </w:pPr>
            <w:r w:rsidRPr="00A23B49">
              <w:t>Contingency frequency control (lower)</w:t>
            </w:r>
          </w:p>
        </w:tc>
        <w:tc>
          <w:tcPr>
            <w:tcW w:w="0" w:type="auto"/>
            <w:tcBorders>
              <w:top w:val="single" w:sz="4" w:space="0" w:color="auto"/>
              <w:bottom w:val="single" w:sz="4" w:space="0" w:color="auto"/>
            </w:tcBorders>
          </w:tcPr>
          <w:p w14:paraId="08DC7D7F" w14:textId="77777777" w:rsidR="003C6064" w:rsidRPr="00A23B49" w:rsidRDefault="003C6064" w:rsidP="00E02062">
            <w:pPr>
              <w:pStyle w:val="Body"/>
              <w:keepNext/>
              <w:numPr>
                <w:ilvl w:val="0"/>
                <w:numId w:val="15"/>
              </w:numPr>
              <w:spacing w:after="60" w:line="240" w:lineRule="auto"/>
              <w:ind w:left="342" w:hanging="342"/>
              <w:rPr>
                <w:rFonts w:asciiTheme="minorHAnsi" w:hAnsiTheme="minorHAnsi"/>
                <w:sz w:val="22"/>
                <w:szCs w:val="22"/>
              </w:rPr>
            </w:pPr>
            <w:r w:rsidRPr="00A23B49">
              <w:rPr>
                <w:rFonts w:asciiTheme="minorHAnsi" w:hAnsiTheme="minorHAnsi"/>
                <w:sz w:val="22"/>
                <w:szCs w:val="22"/>
              </w:rPr>
              <w:t>Stabilise frequency within ‘emergency’ defined operating band after a credible contingency resulting in the net disconnection of load.</w:t>
            </w:r>
          </w:p>
          <w:p w14:paraId="0DC72152" w14:textId="77777777" w:rsidR="003C6064" w:rsidRPr="00A23B49" w:rsidRDefault="003C6064" w:rsidP="00E02062">
            <w:pPr>
              <w:pStyle w:val="Body"/>
              <w:keepNext/>
              <w:numPr>
                <w:ilvl w:val="0"/>
                <w:numId w:val="15"/>
              </w:numPr>
              <w:spacing w:after="60" w:line="240" w:lineRule="auto"/>
              <w:ind w:left="342" w:hanging="342"/>
              <w:rPr>
                <w:rFonts w:ascii="Lato" w:hAnsi="Lato" w:cs="Arial"/>
                <w:sz w:val="22"/>
                <w:szCs w:val="22"/>
              </w:rPr>
            </w:pPr>
            <w:r w:rsidRPr="00A23B49">
              <w:rPr>
                <w:rFonts w:asciiTheme="minorHAnsi" w:hAnsiTheme="minorHAnsi"/>
                <w:sz w:val="22"/>
                <w:szCs w:val="22"/>
              </w:rPr>
              <w:t>Ensure system security without over frequency generator tripping for all credible contingency events.</w:t>
            </w:r>
          </w:p>
        </w:tc>
        <w:tc>
          <w:tcPr>
            <w:tcW w:w="0" w:type="auto"/>
            <w:tcBorders>
              <w:top w:val="single" w:sz="4" w:space="0" w:color="auto"/>
              <w:bottom w:val="single" w:sz="4" w:space="0" w:color="auto"/>
            </w:tcBorders>
          </w:tcPr>
          <w:p w14:paraId="52044582" w14:textId="60F3B9EE" w:rsidR="003C6064" w:rsidRPr="00A23B49" w:rsidRDefault="003C6064" w:rsidP="003C6064">
            <w:pPr>
              <w:pStyle w:val="Body"/>
              <w:keepNext/>
              <w:spacing w:after="60" w:line="240" w:lineRule="auto"/>
              <w:rPr>
                <w:rFonts w:asciiTheme="minorHAnsi" w:hAnsiTheme="minorHAnsi"/>
                <w:sz w:val="22"/>
                <w:szCs w:val="22"/>
              </w:rPr>
            </w:pPr>
            <w:r w:rsidRPr="00A23B49">
              <w:rPr>
                <w:rFonts w:asciiTheme="minorHAnsi" w:hAnsiTheme="minorHAnsi"/>
                <w:sz w:val="22"/>
                <w:szCs w:val="22"/>
              </w:rPr>
              <w:t>System Controller</w:t>
            </w:r>
          </w:p>
        </w:tc>
      </w:tr>
      <w:tr w:rsidR="001F0228" w:rsidRPr="008413D6" w14:paraId="761F59A3" w14:textId="08EB6B2A" w:rsidTr="003C6064">
        <w:tc>
          <w:tcPr>
            <w:tcW w:w="0" w:type="auto"/>
            <w:tcBorders>
              <w:top w:val="single" w:sz="4" w:space="0" w:color="auto"/>
              <w:bottom w:val="single" w:sz="4" w:space="0" w:color="auto"/>
            </w:tcBorders>
          </w:tcPr>
          <w:p w14:paraId="1B4101F5" w14:textId="77777777" w:rsidR="003C6064" w:rsidRPr="00A23B49" w:rsidRDefault="003C6064" w:rsidP="003926E3">
            <w:pPr>
              <w:keepNext/>
              <w:spacing w:before="60" w:after="60"/>
              <w:rPr>
                <w:rFonts w:asciiTheme="minorHAnsi" w:hAnsiTheme="minorHAnsi" w:cs="Arial"/>
              </w:rPr>
            </w:pPr>
            <w:r w:rsidRPr="00A23B49">
              <w:t>Regulating frequency control</w:t>
            </w:r>
          </w:p>
        </w:tc>
        <w:tc>
          <w:tcPr>
            <w:tcW w:w="0" w:type="auto"/>
            <w:tcBorders>
              <w:top w:val="single" w:sz="4" w:space="0" w:color="auto"/>
              <w:bottom w:val="single" w:sz="4" w:space="0" w:color="auto"/>
            </w:tcBorders>
          </w:tcPr>
          <w:p w14:paraId="27F4D1BF" w14:textId="36905605" w:rsidR="003C6064" w:rsidRPr="00A23B49" w:rsidRDefault="003C6064" w:rsidP="00E02062">
            <w:pPr>
              <w:pStyle w:val="Body"/>
              <w:keepNext/>
              <w:numPr>
                <w:ilvl w:val="0"/>
                <w:numId w:val="15"/>
              </w:numPr>
              <w:spacing w:after="60" w:line="240" w:lineRule="auto"/>
              <w:ind w:left="342" w:hanging="342"/>
              <w:rPr>
                <w:rFonts w:asciiTheme="minorHAnsi" w:hAnsiTheme="minorHAnsi" w:cs="Arial"/>
                <w:sz w:val="22"/>
                <w:szCs w:val="22"/>
              </w:rPr>
            </w:pPr>
            <w:r w:rsidRPr="00A23B49">
              <w:rPr>
                <w:rFonts w:asciiTheme="minorHAnsi" w:hAnsiTheme="minorHAnsi"/>
                <w:sz w:val="22"/>
                <w:szCs w:val="22"/>
              </w:rPr>
              <w:t>Regulate power system frequency within normal defined frequency operating band.</w:t>
            </w:r>
          </w:p>
        </w:tc>
        <w:tc>
          <w:tcPr>
            <w:tcW w:w="0" w:type="auto"/>
            <w:tcBorders>
              <w:top w:val="single" w:sz="4" w:space="0" w:color="auto"/>
              <w:bottom w:val="single" w:sz="4" w:space="0" w:color="auto"/>
            </w:tcBorders>
          </w:tcPr>
          <w:p w14:paraId="4A7AE30E" w14:textId="650B29CE" w:rsidR="003C6064" w:rsidRPr="00A23B49" w:rsidRDefault="003C6064" w:rsidP="003C6064">
            <w:pPr>
              <w:pStyle w:val="Body"/>
              <w:keepNext/>
              <w:spacing w:after="60" w:line="240" w:lineRule="auto"/>
              <w:rPr>
                <w:rFonts w:asciiTheme="minorHAnsi" w:hAnsiTheme="minorHAnsi"/>
                <w:sz w:val="22"/>
                <w:szCs w:val="22"/>
              </w:rPr>
            </w:pPr>
            <w:r w:rsidRPr="00A23B49">
              <w:rPr>
                <w:rFonts w:asciiTheme="minorHAnsi" w:hAnsiTheme="minorHAnsi"/>
                <w:sz w:val="22"/>
                <w:szCs w:val="22"/>
              </w:rPr>
              <w:t>System Controller</w:t>
            </w:r>
          </w:p>
        </w:tc>
      </w:tr>
      <w:tr w:rsidR="001F0228" w:rsidRPr="008413D6" w14:paraId="095797D8" w14:textId="67655DC9" w:rsidTr="003C6064">
        <w:tc>
          <w:tcPr>
            <w:tcW w:w="0" w:type="auto"/>
            <w:tcBorders>
              <w:top w:val="single" w:sz="4" w:space="0" w:color="auto"/>
              <w:bottom w:val="single" w:sz="4" w:space="0" w:color="auto"/>
            </w:tcBorders>
          </w:tcPr>
          <w:p w14:paraId="2BBEA678" w14:textId="77777777" w:rsidR="003C6064" w:rsidRPr="00A23B49" w:rsidRDefault="003C6064" w:rsidP="003926E3">
            <w:pPr>
              <w:keepNext/>
              <w:spacing w:before="60" w:after="60"/>
              <w:rPr>
                <w:rFonts w:asciiTheme="minorHAnsi" w:hAnsiTheme="minorHAnsi"/>
              </w:rPr>
            </w:pPr>
            <w:r w:rsidRPr="00A23B49">
              <w:t>Voltage management / network support</w:t>
            </w:r>
          </w:p>
        </w:tc>
        <w:tc>
          <w:tcPr>
            <w:tcW w:w="0" w:type="auto"/>
            <w:tcBorders>
              <w:top w:val="single" w:sz="4" w:space="0" w:color="auto"/>
              <w:bottom w:val="single" w:sz="4" w:space="0" w:color="auto"/>
            </w:tcBorders>
          </w:tcPr>
          <w:p w14:paraId="4C0524EE" w14:textId="77777777" w:rsidR="003C6064" w:rsidRPr="00A23B49" w:rsidRDefault="003C6064" w:rsidP="00E02062">
            <w:pPr>
              <w:pStyle w:val="Body"/>
              <w:keepNext/>
              <w:numPr>
                <w:ilvl w:val="0"/>
                <w:numId w:val="15"/>
              </w:numPr>
              <w:spacing w:after="60" w:line="240" w:lineRule="auto"/>
              <w:ind w:left="342" w:hanging="342"/>
              <w:rPr>
                <w:rFonts w:asciiTheme="minorHAnsi" w:hAnsiTheme="minorHAnsi"/>
                <w:sz w:val="22"/>
                <w:szCs w:val="22"/>
              </w:rPr>
            </w:pPr>
            <w:r w:rsidRPr="00A23B49">
              <w:rPr>
                <w:rFonts w:asciiTheme="minorHAnsi" w:hAnsiTheme="minorHAnsi"/>
                <w:sz w:val="22"/>
                <w:szCs w:val="22"/>
              </w:rPr>
              <w:t>Management of network voltage control issues where required.</w:t>
            </w:r>
          </w:p>
          <w:p w14:paraId="7C66A868" w14:textId="77777777" w:rsidR="003C6064" w:rsidRPr="00A23B49" w:rsidRDefault="003C6064" w:rsidP="00E02062">
            <w:pPr>
              <w:pStyle w:val="Body"/>
              <w:keepNext/>
              <w:numPr>
                <w:ilvl w:val="0"/>
                <w:numId w:val="15"/>
              </w:numPr>
              <w:spacing w:after="60" w:line="240" w:lineRule="auto"/>
              <w:ind w:left="342" w:hanging="342"/>
              <w:rPr>
                <w:rFonts w:asciiTheme="minorHAnsi" w:hAnsiTheme="minorHAnsi" w:cs="Arial"/>
                <w:sz w:val="22"/>
                <w:szCs w:val="22"/>
              </w:rPr>
            </w:pPr>
            <w:r w:rsidRPr="00A23B49">
              <w:rPr>
                <w:rFonts w:asciiTheme="minorHAnsi" w:hAnsiTheme="minorHAnsi"/>
                <w:sz w:val="22"/>
                <w:szCs w:val="22"/>
              </w:rPr>
              <w:t>Management of network capacity shortfall issues where required.</w:t>
            </w:r>
          </w:p>
        </w:tc>
        <w:tc>
          <w:tcPr>
            <w:tcW w:w="0" w:type="auto"/>
            <w:tcBorders>
              <w:top w:val="single" w:sz="4" w:space="0" w:color="auto"/>
              <w:bottom w:val="single" w:sz="4" w:space="0" w:color="auto"/>
            </w:tcBorders>
          </w:tcPr>
          <w:p w14:paraId="36CBCFB9" w14:textId="7FE34FF8" w:rsidR="003C6064" w:rsidRPr="00A23B49" w:rsidRDefault="003C6064" w:rsidP="003C6064">
            <w:pPr>
              <w:pStyle w:val="Body"/>
              <w:keepNext/>
              <w:spacing w:after="60" w:line="240" w:lineRule="auto"/>
              <w:rPr>
                <w:rFonts w:asciiTheme="minorHAnsi" w:hAnsiTheme="minorHAnsi"/>
                <w:sz w:val="22"/>
                <w:szCs w:val="22"/>
              </w:rPr>
            </w:pPr>
            <w:r w:rsidRPr="00A23B49">
              <w:rPr>
                <w:rFonts w:asciiTheme="minorHAnsi" w:hAnsiTheme="minorHAnsi"/>
                <w:sz w:val="22"/>
                <w:szCs w:val="22"/>
              </w:rPr>
              <w:t>Network Operator</w:t>
            </w:r>
          </w:p>
        </w:tc>
      </w:tr>
      <w:tr w:rsidR="001F0228" w:rsidRPr="008413D6" w14:paraId="5ED8EAC9" w14:textId="43ECAEAB" w:rsidTr="003C6064">
        <w:tc>
          <w:tcPr>
            <w:tcW w:w="0" w:type="auto"/>
            <w:tcBorders>
              <w:top w:val="single" w:sz="4" w:space="0" w:color="auto"/>
              <w:bottom w:val="single" w:sz="4" w:space="0" w:color="auto"/>
            </w:tcBorders>
          </w:tcPr>
          <w:p w14:paraId="0068E8E7" w14:textId="77777777" w:rsidR="003C6064" w:rsidRPr="00A23B49" w:rsidRDefault="003C6064" w:rsidP="003926E3">
            <w:pPr>
              <w:keepNext/>
              <w:spacing w:before="60" w:after="60"/>
              <w:rPr>
                <w:rFonts w:asciiTheme="minorHAnsi" w:hAnsiTheme="minorHAnsi"/>
              </w:rPr>
            </w:pPr>
            <w:r w:rsidRPr="00A23B49">
              <w:t>System restart</w:t>
            </w:r>
          </w:p>
        </w:tc>
        <w:tc>
          <w:tcPr>
            <w:tcW w:w="0" w:type="auto"/>
            <w:tcBorders>
              <w:top w:val="single" w:sz="4" w:space="0" w:color="auto"/>
              <w:bottom w:val="single" w:sz="4" w:space="0" w:color="auto"/>
            </w:tcBorders>
          </w:tcPr>
          <w:p w14:paraId="53BB9892" w14:textId="3915D0BA" w:rsidR="003C6064" w:rsidRPr="00A23B49" w:rsidRDefault="003C6064" w:rsidP="00E02062">
            <w:pPr>
              <w:pStyle w:val="Body"/>
              <w:keepNext/>
              <w:numPr>
                <w:ilvl w:val="0"/>
                <w:numId w:val="15"/>
              </w:numPr>
              <w:spacing w:after="60" w:line="240" w:lineRule="auto"/>
              <w:ind w:left="342" w:hanging="342"/>
              <w:rPr>
                <w:rFonts w:ascii="Lato" w:hAnsi="Lato" w:cs="Arial"/>
                <w:sz w:val="22"/>
                <w:szCs w:val="22"/>
              </w:rPr>
            </w:pPr>
            <w:r w:rsidRPr="00A23B49">
              <w:rPr>
                <w:rFonts w:asciiTheme="minorHAnsi" w:hAnsiTheme="minorHAnsi"/>
                <w:sz w:val="22"/>
                <w:szCs w:val="22"/>
              </w:rPr>
              <w:t xml:space="preserve">Enable the restart of the regulated power systems from a </w:t>
            </w:r>
            <w:r w:rsidR="00B03595" w:rsidRPr="00A23B49">
              <w:rPr>
                <w:rFonts w:asciiTheme="minorHAnsi" w:hAnsiTheme="minorHAnsi"/>
                <w:sz w:val="22"/>
                <w:szCs w:val="22"/>
              </w:rPr>
              <w:t>‘</w:t>
            </w:r>
            <w:r w:rsidRPr="00A23B49">
              <w:rPr>
                <w:rFonts w:asciiTheme="minorHAnsi" w:hAnsiTheme="minorHAnsi"/>
                <w:sz w:val="22"/>
                <w:szCs w:val="22"/>
              </w:rPr>
              <w:t>black system</w:t>
            </w:r>
            <w:r w:rsidR="00B03595" w:rsidRPr="00A23B49">
              <w:rPr>
                <w:rFonts w:asciiTheme="minorHAnsi" w:hAnsiTheme="minorHAnsi"/>
                <w:sz w:val="22"/>
                <w:szCs w:val="22"/>
              </w:rPr>
              <w:t>’</w:t>
            </w:r>
            <w:r w:rsidRPr="00A23B49">
              <w:rPr>
                <w:rFonts w:asciiTheme="minorHAnsi" w:hAnsiTheme="minorHAnsi"/>
                <w:sz w:val="22"/>
                <w:szCs w:val="22"/>
              </w:rPr>
              <w:t xml:space="preserve"> event.</w:t>
            </w:r>
          </w:p>
        </w:tc>
        <w:tc>
          <w:tcPr>
            <w:tcW w:w="0" w:type="auto"/>
            <w:tcBorders>
              <w:top w:val="single" w:sz="4" w:space="0" w:color="auto"/>
              <w:bottom w:val="single" w:sz="4" w:space="0" w:color="auto"/>
            </w:tcBorders>
          </w:tcPr>
          <w:p w14:paraId="69F5B461" w14:textId="442FEC73" w:rsidR="003C6064" w:rsidRPr="00A23B49" w:rsidRDefault="003C6064" w:rsidP="003C6064">
            <w:pPr>
              <w:pStyle w:val="Body"/>
              <w:keepNext/>
              <w:spacing w:after="60" w:line="240" w:lineRule="auto"/>
              <w:rPr>
                <w:rFonts w:asciiTheme="minorHAnsi" w:hAnsiTheme="minorHAnsi"/>
                <w:sz w:val="22"/>
                <w:szCs w:val="22"/>
              </w:rPr>
            </w:pPr>
            <w:r w:rsidRPr="00A23B49">
              <w:rPr>
                <w:rFonts w:asciiTheme="minorHAnsi" w:hAnsiTheme="minorHAnsi"/>
                <w:sz w:val="22"/>
                <w:szCs w:val="22"/>
              </w:rPr>
              <w:t>System Controller</w:t>
            </w:r>
          </w:p>
        </w:tc>
      </w:tr>
      <w:tr w:rsidR="001F0228" w:rsidRPr="008413D6" w14:paraId="3A3A571B" w14:textId="1215DA69" w:rsidTr="003C6064">
        <w:tc>
          <w:tcPr>
            <w:tcW w:w="0" w:type="auto"/>
            <w:tcBorders>
              <w:top w:val="single" w:sz="4" w:space="0" w:color="auto"/>
              <w:bottom w:val="single" w:sz="4" w:space="0" w:color="auto"/>
            </w:tcBorders>
          </w:tcPr>
          <w:p w14:paraId="42B40FC4" w14:textId="77777777" w:rsidR="003C6064" w:rsidRPr="00A23B49" w:rsidRDefault="003C6064" w:rsidP="003926E3">
            <w:pPr>
              <w:keepNext/>
              <w:spacing w:before="60" w:after="60"/>
              <w:rPr>
                <w:rFonts w:asciiTheme="minorHAnsi" w:hAnsiTheme="minorHAnsi"/>
              </w:rPr>
            </w:pPr>
            <w:r w:rsidRPr="00A23B49">
              <w:t>System strength</w:t>
            </w:r>
          </w:p>
        </w:tc>
        <w:tc>
          <w:tcPr>
            <w:tcW w:w="0" w:type="auto"/>
            <w:tcBorders>
              <w:top w:val="single" w:sz="4" w:space="0" w:color="auto"/>
              <w:bottom w:val="single" w:sz="4" w:space="0" w:color="auto"/>
            </w:tcBorders>
          </w:tcPr>
          <w:p w14:paraId="10CD9784" w14:textId="5AB09811" w:rsidR="003C6064" w:rsidRPr="00A23B49" w:rsidRDefault="00406969" w:rsidP="00305A87">
            <w:pPr>
              <w:pStyle w:val="Body"/>
              <w:keepNext/>
              <w:numPr>
                <w:ilvl w:val="0"/>
                <w:numId w:val="15"/>
              </w:numPr>
              <w:spacing w:after="60" w:line="240" w:lineRule="auto"/>
              <w:ind w:left="342" w:hanging="342"/>
              <w:rPr>
                <w:rFonts w:asciiTheme="minorHAnsi" w:hAnsiTheme="minorHAnsi"/>
                <w:sz w:val="22"/>
                <w:szCs w:val="22"/>
              </w:rPr>
            </w:pPr>
            <w:r w:rsidRPr="00A23B49">
              <w:rPr>
                <w:rFonts w:asciiTheme="minorHAnsi" w:hAnsiTheme="minorHAnsi"/>
                <w:sz w:val="22"/>
                <w:szCs w:val="22"/>
              </w:rPr>
              <w:t>S</w:t>
            </w:r>
            <w:r w:rsidR="003C6064" w:rsidRPr="00A23B49">
              <w:rPr>
                <w:rFonts w:asciiTheme="minorHAnsi" w:hAnsiTheme="minorHAnsi"/>
                <w:sz w:val="22"/>
                <w:szCs w:val="22"/>
              </w:rPr>
              <w:t>ufficient system strength capability to ensure voltage stability and sufficient fault current</w:t>
            </w:r>
            <w:r w:rsidRPr="00A23B49">
              <w:rPr>
                <w:rFonts w:asciiTheme="minorHAnsi" w:hAnsiTheme="minorHAnsi"/>
                <w:sz w:val="22"/>
                <w:szCs w:val="22"/>
              </w:rPr>
              <w:t>.</w:t>
            </w:r>
          </w:p>
        </w:tc>
        <w:tc>
          <w:tcPr>
            <w:tcW w:w="0" w:type="auto"/>
            <w:tcBorders>
              <w:top w:val="single" w:sz="4" w:space="0" w:color="auto"/>
              <w:bottom w:val="single" w:sz="4" w:space="0" w:color="auto"/>
            </w:tcBorders>
          </w:tcPr>
          <w:p w14:paraId="6B68BA92" w14:textId="380C4C7B" w:rsidR="003C6064" w:rsidRPr="00A23B49" w:rsidRDefault="003C6064" w:rsidP="003C6064">
            <w:pPr>
              <w:pStyle w:val="Body"/>
              <w:keepNext/>
              <w:spacing w:after="60" w:line="240" w:lineRule="auto"/>
              <w:rPr>
                <w:rFonts w:asciiTheme="minorHAnsi" w:hAnsiTheme="minorHAnsi"/>
                <w:sz w:val="22"/>
                <w:szCs w:val="22"/>
              </w:rPr>
            </w:pPr>
            <w:r w:rsidRPr="00A23B49">
              <w:rPr>
                <w:rFonts w:asciiTheme="minorHAnsi" w:hAnsiTheme="minorHAnsi"/>
                <w:sz w:val="22"/>
                <w:szCs w:val="22"/>
              </w:rPr>
              <w:t>Network Operator</w:t>
            </w:r>
          </w:p>
        </w:tc>
      </w:tr>
      <w:tr w:rsidR="001F0228" w:rsidRPr="008413D6" w14:paraId="44CF35B4" w14:textId="49244712" w:rsidTr="003C6064">
        <w:tc>
          <w:tcPr>
            <w:tcW w:w="0" w:type="auto"/>
            <w:tcBorders>
              <w:top w:val="single" w:sz="4" w:space="0" w:color="auto"/>
              <w:bottom w:val="single" w:sz="4" w:space="0" w:color="auto"/>
            </w:tcBorders>
          </w:tcPr>
          <w:p w14:paraId="3987B117" w14:textId="0A091433" w:rsidR="003C6064" w:rsidRPr="00A23B49" w:rsidRDefault="003C6064" w:rsidP="003926E3">
            <w:pPr>
              <w:keepNext/>
              <w:spacing w:before="60" w:after="60"/>
            </w:pPr>
            <w:r w:rsidRPr="00A23B49">
              <w:t>Additional services</w:t>
            </w:r>
          </w:p>
        </w:tc>
        <w:tc>
          <w:tcPr>
            <w:tcW w:w="0" w:type="auto"/>
            <w:tcBorders>
              <w:top w:val="single" w:sz="4" w:space="0" w:color="auto"/>
              <w:bottom w:val="single" w:sz="4" w:space="0" w:color="auto"/>
            </w:tcBorders>
          </w:tcPr>
          <w:p w14:paraId="25A1A1F7" w14:textId="463EAE82" w:rsidR="003C6064" w:rsidRPr="00A23B49" w:rsidRDefault="00BD4D42" w:rsidP="00F51F16">
            <w:pPr>
              <w:pStyle w:val="Body"/>
              <w:keepNext/>
              <w:numPr>
                <w:ilvl w:val="0"/>
                <w:numId w:val="15"/>
              </w:numPr>
              <w:spacing w:after="60" w:line="240" w:lineRule="auto"/>
              <w:ind w:left="342" w:hanging="342"/>
              <w:rPr>
                <w:rFonts w:asciiTheme="minorHAnsi" w:hAnsiTheme="minorHAnsi"/>
                <w:sz w:val="22"/>
                <w:szCs w:val="22"/>
              </w:rPr>
            </w:pPr>
            <w:r w:rsidRPr="00A23B49">
              <w:rPr>
                <w:rFonts w:asciiTheme="minorHAnsi" w:hAnsiTheme="minorHAnsi"/>
                <w:sz w:val="22"/>
                <w:szCs w:val="22"/>
              </w:rPr>
              <w:t>Services necessary to address a system security issue that cannot be managed through the planning timescales, as approved by the Utilities Commission.</w:t>
            </w:r>
          </w:p>
        </w:tc>
        <w:tc>
          <w:tcPr>
            <w:tcW w:w="0" w:type="auto"/>
            <w:tcBorders>
              <w:top w:val="single" w:sz="4" w:space="0" w:color="auto"/>
              <w:bottom w:val="single" w:sz="4" w:space="0" w:color="auto"/>
            </w:tcBorders>
          </w:tcPr>
          <w:p w14:paraId="0C869362" w14:textId="5B7596BA" w:rsidR="003C6064" w:rsidRPr="00A23B49" w:rsidRDefault="003C6064" w:rsidP="003C6064">
            <w:pPr>
              <w:pStyle w:val="Body"/>
              <w:keepNext/>
              <w:spacing w:after="60" w:line="240" w:lineRule="auto"/>
              <w:rPr>
                <w:rFonts w:asciiTheme="minorHAnsi" w:hAnsiTheme="minorHAnsi"/>
                <w:sz w:val="22"/>
                <w:szCs w:val="22"/>
              </w:rPr>
            </w:pPr>
            <w:r w:rsidRPr="00A23B49">
              <w:rPr>
                <w:rFonts w:asciiTheme="minorHAnsi" w:hAnsiTheme="minorHAnsi"/>
                <w:sz w:val="22"/>
                <w:szCs w:val="22"/>
              </w:rPr>
              <w:t>System Controller</w:t>
            </w:r>
          </w:p>
        </w:tc>
      </w:tr>
    </w:tbl>
    <w:p w14:paraId="0CC2D973" w14:textId="77777777" w:rsidR="00923023" w:rsidRDefault="00923023" w:rsidP="003926E3">
      <w:pPr>
        <w:rPr>
          <w:rFonts w:asciiTheme="minorHAnsi" w:hAnsiTheme="minorHAnsi" w:cs="Arial"/>
        </w:rPr>
      </w:pPr>
    </w:p>
    <w:p w14:paraId="75BA0D43" w14:textId="4F37BE3F" w:rsidR="003926E3" w:rsidRPr="00A7565D" w:rsidRDefault="003926E3" w:rsidP="00A7565D">
      <w:pPr>
        <w:pStyle w:val="Heading2"/>
        <w:numPr>
          <w:ilvl w:val="0"/>
          <w:numId w:val="0"/>
        </w:numPr>
      </w:pPr>
      <w:r w:rsidRPr="00A7565D">
        <w:t>Service requirements</w:t>
      </w:r>
    </w:p>
    <w:p w14:paraId="5A7A43FE" w14:textId="77777777" w:rsidR="00E33C1C" w:rsidRDefault="00E33C1C" w:rsidP="00E33C1C">
      <w:pPr>
        <w:rPr>
          <w:rFonts w:asciiTheme="minorHAnsi" w:hAnsiTheme="minorHAnsi" w:cs="Arial"/>
        </w:rPr>
      </w:pPr>
      <w:r>
        <w:rPr>
          <w:rFonts w:asciiTheme="minorHAnsi" w:hAnsiTheme="minorHAnsi" w:cs="Arial"/>
        </w:rPr>
        <w:t>The amounts of essential system services procured and dispatched have a direct bearing on the resulting security of the system and electricity supply costs.</w:t>
      </w:r>
    </w:p>
    <w:p w14:paraId="1F8F550C" w14:textId="06E91A5B" w:rsidR="00E33C1C" w:rsidRPr="001914E7" w:rsidRDefault="00E33C1C" w:rsidP="00E33C1C">
      <w:pPr>
        <w:rPr>
          <w:rFonts w:asciiTheme="minorHAnsi" w:hAnsiTheme="minorHAnsi" w:cs="Arial"/>
        </w:rPr>
      </w:pPr>
      <w:r w:rsidRPr="002F64A1">
        <w:rPr>
          <w:rFonts w:asciiTheme="minorHAnsi" w:hAnsiTheme="minorHAnsi" w:cs="Arial"/>
        </w:rPr>
        <w:t xml:space="preserve">Given the importance of service requirement forecasts to overall costs, and the scope for </w:t>
      </w:r>
      <w:r>
        <w:rPr>
          <w:rFonts w:asciiTheme="minorHAnsi" w:hAnsiTheme="minorHAnsi" w:cs="Arial"/>
        </w:rPr>
        <w:t xml:space="preserve">contention and </w:t>
      </w:r>
      <w:r w:rsidRPr="002F64A1">
        <w:rPr>
          <w:rFonts w:asciiTheme="minorHAnsi" w:hAnsiTheme="minorHAnsi" w:cs="Arial"/>
        </w:rPr>
        <w:t xml:space="preserve">disagreement </w:t>
      </w:r>
      <w:r>
        <w:rPr>
          <w:rFonts w:asciiTheme="minorHAnsi" w:hAnsiTheme="minorHAnsi" w:cs="Arial"/>
        </w:rPr>
        <w:t>regarding essential system service requirements</w:t>
      </w:r>
      <w:r w:rsidRPr="002F64A1">
        <w:rPr>
          <w:rFonts w:asciiTheme="minorHAnsi" w:hAnsiTheme="minorHAnsi" w:cs="Arial"/>
        </w:rPr>
        <w:t>,</w:t>
      </w:r>
      <w:r>
        <w:rPr>
          <w:rFonts w:asciiTheme="minorHAnsi" w:hAnsiTheme="minorHAnsi" w:cs="Arial"/>
        </w:rPr>
        <w:t xml:space="preserve"> there would be</w:t>
      </w:r>
      <w:r w:rsidRPr="002F64A1">
        <w:rPr>
          <w:rFonts w:asciiTheme="minorHAnsi" w:hAnsiTheme="minorHAnsi" w:cs="Arial"/>
        </w:rPr>
        <w:t xml:space="preserve"> </w:t>
      </w:r>
      <w:r w:rsidRPr="001914E7">
        <w:rPr>
          <w:rFonts w:asciiTheme="minorHAnsi" w:hAnsiTheme="minorHAnsi" w:cs="Arial"/>
        </w:rPr>
        <w:t>benefit from introducing transparency and oversight arrangements for the determination of service requirements</w:t>
      </w:r>
      <w:r>
        <w:rPr>
          <w:rFonts w:asciiTheme="minorHAnsi" w:hAnsiTheme="minorHAnsi" w:cs="Arial"/>
        </w:rPr>
        <w:t xml:space="preserve"> on the NT regulated systems</w:t>
      </w:r>
      <w:r w:rsidRPr="001914E7">
        <w:rPr>
          <w:rFonts w:asciiTheme="minorHAnsi" w:hAnsiTheme="minorHAnsi" w:cs="Arial"/>
        </w:rPr>
        <w:t>.</w:t>
      </w:r>
    </w:p>
    <w:p w14:paraId="58BE64CE" w14:textId="5A40D388" w:rsidR="00E33C1C" w:rsidRDefault="00E33C1C" w:rsidP="00E33C1C">
      <w:pPr>
        <w:rPr>
          <w:rFonts w:asciiTheme="minorHAnsi" w:hAnsiTheme="minorHAnsi" w:cs="Arial"/>
        </w:rPr>
      </w:pPr>
      <w:r w:rsidRPr="002244F8">
        <w:rPr>
          <w:rFonts w:asciiTheme="minorHAnsi" w:hAnsiTheme="minorHAnsi" w:cs="Arial"/>
        </w:rPr>
        <w:t>A process should be codified for the annual review</w:t>
      </w:r>
      <w:r>
        <w:rPr>
          <w:rFonts w:asciiTheme="minorHAnsi" w:hAnsiTheme="minorHAnsi" w:cs="Arial"/>
        </w:rPr>
        <w:t xml:space="preserve"> and determination</w:t>
      </w:r>
      <w:r w:rsidRPr="002244F8">
        <w:rPr>
          <w:rFonts w:asciiTheme="minorHAnsi" w:hAnsiTheme="minorHAnsi" w:cs="Arial"/>
        </w:rPr>
        <w:t xml:space="preserve"> of the amounts of essential system services </w:t>
      </w:r>
      <w:r>
        <w:rPr>
          <w:rFonts w:asciiTheme="minorHAnsi" w:hAnsiTheme="minorHAnsi" w:cs="Arial"/>
        </w:rPr>
        <w:t xml:space="preserve">to be </w:t>
      </w:r>
      <w:r w:rsidRPr="002244F8">
        <w:rPr>
          <w:rFonts w:asciiTheme="minorHAnsi" w:hAnsiTheme="minorHAnsi" w:cs="Arial"/>
        </w:rPr>
        <w:t>procured by the System Controller to ensure the levels remain appropriate given changing power</w:t>
      </w:r>
      <w:r>
        <w:rPr>
          <w:rFonts w:asciiTheme="minorHAnsi" w:hAnsiTheme="minorHAnsi" w:cs="Arial"/>
        </w:rPr>
        <w:t xml:space="preserve"> system needs.</w:t>
      </w:r>
    </w:p>
    <w:p w14:paraId="1B2E1C90" w14:textId="77777777" w:rsidR="00E33C1C" w:rsidRDefault="00E33C1C" w:rsidP="00E33C1C">
      <w:pPr>
        <w:rPr>
          <w:rFonts w:asciiTheme="minorHAnsi" w:hAnsiTheme="minorHAnsi" w:cs="Arial"/>
        </w:rPr>
      </w:pPr>
      <w:r>
        <w:rPr>
          <w:rFonts w:asciiTheme="minorHAnsi" w:hAnsiTheme="minorHAnsi" w:cs="Arial"/>
        </w:rPr>
        <w:t>This process should involve the System Controller preparing, on an annual basis for the coming financial year, an Essential System Services Plan setting out:</w:t>
      </w:r>
    </w:p>
    <w:p w14:paraId="23B4545A" w14:textId="5F04060C" w:rsidR="00405D39" w:rsidRDefault="00E33C1C" w:rsidP="00305A87">
      <w:pPr>
        <w:pStyle w:val="ListParagraph"/>
        <w:numPr>
          <w:ilvl w:val="0"/>
          <w:numId w:val="11"/>
        </w:numPr>
        <w:spacing w:after="200"/>
        <w:ind w:left="425" w:hanging="357"/>
        <w:rPr>
          <w:rFonts w:asciiTheme="minorHAnsi" w:hAnsiTheme="minorHAnsi" w:cs="Arial"/>
        </w:rPr>
      </w:pPr>
      <w:r w:rsidRPr="002244F8">
        <w:rPr>
          <w:rFonts w:asciiTheme="minorHAnsi" w:hAnsiTheme="minorHAnsi" w:cs="Arial"/>
        </w:rPr>
        <w:lastRenderedPageBreak/>
        <w:t xml:space="preserve">updated </w:t>
      </w:r>
      <w:r>
        <w:rPr>
          <w:rFonts w:asciiTheme="minorHAnsi" w:hAnsiTheme="minorHAnsi" w:cs="Arial"/>
        </w:rPr>
        <w:t>e</w:t>
      </w:r>
      <w:r w:rsidRPr="002244F8">
        <w:rPr>
          <w:rFonts w:asciiTheme="minorHAnsi" w:hAnsiTheme="minorHAnsi" w:cs="Arial"/>
        </w:rPr>
        <w:t>ssential system service standards</w:t>
      </w:r>
      <w:r>
        <w:rPr>
          <w:rFonts w:asciiTheme="minorHAnsi" w:hAnsiTheme="minorHAnsi" w:cs="Arial"/>
        </w:rPr>
        <w:t xml:space="preserve"> for each of the NT regulated systems</w:t>
      </w:r>
      <w:r w:rsidR="00405D39">
        <w:rPr>
          <w:rFonts w:asciiTheme="minorHAnsi" w:hAnsiTheme="minorHAnsi" w:cs="Arial"/>
        </w:rPr>
        <w:t xml:space="preserve">, </w:t>
      </w:r>
      <w:r w:rsidR="00405D39" w:rsidRPr="00405D39">
        <w:rPr>
          <w:rFonts w:asciiTheme="minorHAnsi" w:hAnsiTheme="minorHAnsi" w:cs="Arial"/>
        </w:rPr>
        <w:t>supported by an evidence-based methodology</w:t>
      </w:r>
    </w:p>
    <w:p w14:paraId="530A7F1A" w14:textId="040000D2" w:rsidR="00E33C1C" w:rsidRDefault="00E33C1C" w:rsidP="00305A87">
      <w:pPr>
        <w:pStyle w:val="ListParagraph"/>
        <w:numPr>
          <w:ilvl w:val="0"/>
          <w:numId w:val="11"/>
        </w:numPr>
        <w:spacing w:after="200"/>
        <w:ind w:left="425" w:hanging="357"/>
        <w:rPr>
          <w:rFonts w:asciiTheme="minorHAnsi" w:hAnsiTheme="minorHAnsi" w:cs="Arial"/>
        </w:rPr>
      </w:pPr>
      <w:r w:rsidRPr="002244F8">
        <w:rPr>
          <w:rFonts w:asciiTheme="minorHAnsi" w:hAnsiTheme="minorHAnsi" w:cs="Arial"/>
        </w:rPr>
        <w:t>forecast</w:t>
      </w:r>
      <w:r w:rsidR="00F74018">
        <w:rPr>
          <w:rFonts w:asciiTheme="minorHAnsi" w:hAnsiTheme="minorHAnsi" w:cs="Arial"/>
        </w:rPr>
        <w:t xml:space="preserve"> </w:t>
      </w:r>
      <w:r w:rsidRPr="002244F8">
        <w:rPr>
          <w:rFonts w:asciiTheme="minorHAnsi" w:hAnsiTheme="minorHAnsi" w:cs="Arial"/>
        </w:rPr>
        <w:t xml:space="preserve">requirements to meet </w:t>
      </w:r>
      <w:r w:rsidR="00405D39" w:rsidRPr="00405D39">
        <w:rPr>
          <w:rFonts w:asciiTheme="minorHAnsi" w:hAnsiTheme="minorHAnsi" w:cs="Arial"/>
        </w:rPr>
        <w:t>to meet the service standards</w:t>
      </w:r>
      <w:r w:rsidR="00405D39" w:rsidRPr="00405D39" w:rsidDel="00405D39">
        <w:rPr>
          <w:rFonts w:asciiTheme="minorHAnsi" w:hAnsiTheme="minorHAnsi" w:cs="Arial"/>
        </w:rPr>
        <w:t xml:space="preserve"> </w:t>
      </w:r>
    </w:p>
    <w:p w14:paraId="54BAEA87" w14:textId="77777777" w:rsidR="00E33C1C" w:rsidRDefault="00E33C1C" w:rsidP="00F51F16">
      <w:pPr>
        <w:pStyle w:val="ListParagraph"/>
        <w:numPr>
          <w:ilvl w:val="0"/>
          <w:numId w:val="11"/>
        </w:numPr>
        <w:spacing w:after="200"/>
        <w:ind w:left="425" w:hanging="357"/>
        <w:rPr>
          <w:rFonts w:asciiTheme="minorHAnsi" w:hAnsiTheme="minorHAnsi" w:cs="Arial"/>
        </w:rPr>
      </w:pPr>
      <w:r>
        <w:rPr>
          <w:rFonts w:asciiTheme="minorHAnsi" w:hAnsiTheme="minorHAnsi" w:cs="Arial"/>
        </w:rPr>
        <w:t>how the System Controller will procure the required essential system services</w:t>
      </w:r>
    </w:p>
    <w:p w14:paraId="21C40DF8" w14:textId="77777777" w:rsidR="00E33C1C" w:rsidRDefault="00E33C1C" w:rsidP="00F51F16">
      <w:pPr>
        <w:pStyle w:val="ListParagraph"/>
        <w:numPr>
          <w:ilvl w:val="0"/>
          <w:numId w:val="11"/>
        </w:numPr>
        <w:spacing w:after="200"/>
        <w:ind w:left="425" w:hanging="357"/>
        <w:rPr>
          <w:rFonts w:asciiTheme="minorHAnsi" w:hAnsiTheme="minorHAnsi" w:cs="Arial"/>
        </w:rPr>
      </w:pPr>
      <w:proofErr w:type="gramStart"/>
      <w:r>
        <w:rPr>
          <w:rFonts w:asciiTheme="minorHAnsi" w:hAnsiTheme="minorHAnsi" w:cs="Arial"/>
        </w:rPr>
        <w:t>a</w:t>
      </w:r>
      <w:proofErr w:type="gramEnd"/>
      <w:r>
        <w:rPr>
          <w:rFonts w:asciiTheme="minorHAnsi" w:hAnsiTheme="minorHAnsi" w:cs="Arial"/>
        </w:rPr>
        <w:t xml:space="preserve"> budget for the procurement of the required essential system services.</w:t>
      </w:r>
    </w:p>
    <w:p w14:paraId="79589D29" w14:textId="0D78C36D" w:rsidR="00E33C1C" w:rsidRPr="002244F8" w:rsidRDefault="00E33C1C" w:rsidP="00E33C1C">
      <w:pPr>
        <w:rPr>
          <w:rFonts w:asciiTheme="minorHAnsi" w:hAnsiTheme="minorHAnsi" w:cs="Arial"/>
        </w:rPr>
      </w:pPr>
      <w:r>
        <w:rPr>
          <w:rFonts w:asciiTheme="minorHAnsi" w:hAnsiTheme="minorHAnsi" w:cs="Arial"/>
        </w:rPr>
        <w:t>Enactment of the Essential System Services Plan should be subject to approval or redetermination by the Utilities Commission.</w:t>
      </w:r>
    </w:p>
    <w:p w14:paraId="0423E6E4" w14:textId="7B0DBDD7" w:rsidR="00E33C1C" w:rsidRDefault="00E33C1C" w:rsidP="00982591">
      <w:pPr>
        <w:rPr>
          <w:rFonts w:asciiTheme="minorHAnsi" w:hAnsiTheme="minorHAnsi" w:cs="Arial"/>
        </w:rPr>
      </w:pPr>
      <w:r>
        <w:rPr>
          <w:rFonts w:asciiTheme="minorHAnsi" w:hAnsiTheme="minorHAnsi" w:cs="Arial"/>
        </w:rPr>
        <w:t>W</w:t>
      </w:r>
      <w:r w:rsidRPr="001914E7">
        <w:rPr>
          <w:rFonts w:asciiTheme="minorHAnsi" w:hAnsiTheme="minorHAnsi" w:cs="Arial"/>
        </w:rPr>
        <w:t xml:space="preserve">here </w:t>
      </w:r>
      <w:r w:rsidRPr="00090E99">
        <w:rPr>
          <w:rFonts w:asciiTheme="minorHAnsi" w:hAnsiTheme="minorHAnsi" w:cs="Arial"/>
        </w:rPr>
        <w:t>the System Controller identifies that a material deficiency in service requirements</w:t>
      </w:r>
      <w:r>
        <w:rPr>
          <w:rFonts w:asciiTheme="minorHAnsi" w:hAnsiTheme="minorHAnsi" w:cs="Arial"/>
        </w:rPr>
        <w:t xml:space="preserve"> against the Essential System Services Plan</w:t>
      </w:r>
      <w:r w:rsidRPr="00090E99">
        <w:rPr>
          <w:rFonts w:asciiTheme="minorHAnsi" w:hAnsiTheme="minorHAnsi" w:cs="Arial"/>
        </w:rPr>
        <w:t xml:space="preserve"> is likely to occ</w:t>
      </w:r>
      <w:r>
        <w:rPr>
          <w:rFonts w:asciiTheme="minorHAnsi" w:hAnsiTheme="minorHAnsi" w:cs="Arial"/>
        </w:rPr>
        <w:t>ur before the next annual Plan</w:t>
      </w:r>
      <w:r w:rsidRPr="00090E99">
        <w:rPr>
          <w:rFonts w:asciiTheme="minorHAnsi" w:hAnsiTheme="minorHAnsi" w:cs="Arial"/>
        </w:rPr>
        <w:t xml:space="preserve">, the System Controller </w:t>
      </w:r>
      <w:r>
        <w:rPr>
          <w:rFonts w:asciiTheme="minorHAnsi" w:hAnsiTheme="minorHAnsi" w:cs="Arial"/>
        </w:rPr>
        <w:t>should be permitted to</w:t>
      </w:r>
      <w:r w:rsidRPr="00090E99">
        <w:rPr>
          <w:rFonts w:asciiTheme="minorHAnsi" w:hAnsiTheme="minorHAnsi" w:cs="Arial"/>
        </w:rPr>
        <w:t xml:space="preserve"> reassess the</w:t>
      </w:r>
      <w:r>
        <w:rPr>
          <w:rFonts w:asciiTheme="minorHAnsi" w:hAnsiTheme="minorHAnsi" w:cs="Arial"/>
        </w:rPr>
        <w:t xml:space="preserve"> essential system service s</w:t>
      </w:r>
      <w:r w:rsidRPr="00090E99">
        <w:rPr>
          <w:rFonts w:asciiTheme="minorHAnsi" w:hAnsiTheme="minorHAnsi" w:cs="Arial"/>
        </w:rPr>
        <w:t>tandard</w:t>
      </w:r>
      <w:r>
        <w:rPr>
          <w:rFonts w:asciiTheme="minorHAnsi" w:hAnsiTheme="minorHAnsi" w:cs="Arial"/>
        </w:rPr>
        <w:t>s, requirements and budget with the approval of the Utilities Commission.</w:t>
      </w:r>
    </w:p>
    <w:p w14:paraId="14802BB7" w14:textId="417CDB41" w:rsidR="00B836EE" w:rsidRPr="00B836EE" w:rsidRDefault="00B836EE" w:rsidP="00A7565D">
      <w:pPr>
        <w:pStyle w:val="Heading2"/>
        <w:numPr>
          <w:ilvl w:val="0"/>
          <w:numId w:val="0"/>
        </w:numPr>
        <w:rPr>
          <w:lang w:eastAsia="en-AU"/>
        </w:rPr>
      </w:pPr>
      <w:r w:rsidRPr="00B836EE">
        <w:rPr>
          <w:lang w:eastAsia="en-AU"/>
        </w:rPr>
        <w:t>Provision framework</w:t>
      </w:r>
    </w:p>
    <w:p w14:paraId="7D9BB348" w14:textId="541A23A1" w:rsidR="003926E3" w:rsidRPr="00B93B82" w:rsidRDefault="00465555" w:rsidP="003926E3">
      <w:pPr>
        <w:keepNext/>
        <w:rPr>
          <w:rFonts w:asciiTheme="minorHAnsi" w:hAnsiTheme="minorHAnsi" w:cs="Arial"/>
        </w:rPr>
      </w:pPr>
      <w:r>
        <w:rPr>
          <w:rFonts w:asciiTheme="minorHAnsi" w:hAnsiTheme="minorHAnsi" w:cs="Arial"/>
        </w:rPr>
        <w:t xml:space="preserve">The current approach to essential system service provision </w:t>
      </w:r>
      <w:r w:rsidR="003926E3" w:rsidRPr="00B93B82">
        <w:rPr>
          <w:rFonts w:asciiTheme="minorHAnsi" w:hAnsiTheme="minorHAnsi" w:cs="Arial"/>
        </w:rPr>
        <w:t>is not a competitive process and therefore</w:t>
      </w:r>
      <w:r w:rsidR="00431C31">
        <w:rPr>
          <w:rFonts w:asciiTheme="minorHAnsi" w:hAnsiTheme="minorHAnsi" w:cs="Arial"/>
        </w:rPr>
        <w:t xml:space="preserve"> won’t</w:t>
      </w:r>
      <w:r w:rsidR="003926E3" w:rsidRPr="00B93B82">
        <w:rPr>
          <w:rFonts w:asciiTheme="minorHAnsi" w:hAnsiTheme="minorHAnsi" w:cs="Arial"/>
        </w:rPr>
        <w:t xml:space="preserve"> facilitate the procurement</w:t>
      </w:r>
      <w:r w:rsidR="00431C31">
        <w:rPr>
          <w:rFonts w:asciiTheme="minorHAnsi" w:hAnsiTheme="minorHAnsi" w:cs="Arial"/>
        </w:rPr>
        <w:t xml:space="preserve"> and</w:t>
      </w:r>
      <w:r w:rsidR="003926E3" w:rsidRPr="00B93B82">
        <w:rPr>
          <w:rFonts w:asciiTheme="minorHAnsi" w:hAnsiTheme="minorHAnsi" w:cs="Arial"/>
        </w:rPr>
        <w:t xml:space="preserve"> least cost</w:t>
      </w:r>
      <w:r w:rsidR="00431C31">
        <w:rPr>
          <w:rFonts w:asciiTheme="minorHAnsi" w:hAnsiTheme="minorHAnsi" w:cs="Arial"/>
        </w:rPr>
        <w:t xml:space="preserve"> dispatch</w:t>
      </w:r>
      <w:r w:rsidR="003926E3" w:rsidRPr="00B93B82">
        <w:rPr>
          <w:rFonts w:asciiTheme="minorHAnsi" w:hAnsiTheme="minorHAnsi" w:cs="Arial"/>
        </w:rPr>
        <w:t xml:space="preserve"> </w:t>
      </w:r>
      <w:r w:rsidR="00023F7A">
        <w:rPr>
          <w:rFonts w:asciiTheme="minorHAnsi" w:hAnsiTheme="minorHAnsi" w:cs="Arial"/>
        </w:rPr>
        <w:t xml:space="preserve">of </w:t>
      </w:r>
      <w:r w:rsidR="003926E3" w:rsidRPr="00B93B82">
        <w:rPr>
          <w:rFonts w:asciiTheme="minorHAnsi" w:hAnsiTheme="minorHAnsi" w:cs="Arial"/>
        </w:rPr>
        <w:t>essential system services as more potential providers enter the market.</w:t>
      </w:r>
    </w:p>
    <w:p w14:paraId="5939C4C5" w14:textId="4E62A7F5" w:rsidR="003926E3" w:rsidRDefault="00465555" w:rsidP="003926E3">
      <w:pPr>
        <w:rPr>
          <w:rFonts w:asciiTheme="minorHAnsi" w:hAnsiTheme="minorHAnsi" w:cs="Arial"/>
        </w:rPr>
      </w:pPr>
      <w:r>
        <w:rPr>
          <w:rFonts w:asciiTheme="minorHAnsi" w:hAnsiTheme="minorHAnsi" w:cs="Arial"/>
        </w:rPr>
        <w:t>At this stage of the NT regulated systems’ development, t</w:t>
      </w:r>
      <w:r w:rsidR="003926E3" w:rsidRPr="00D9724C">
        <w:rPr>
          <w:rFonts w:asciiTheme="minorHAnsi" w:hAnsiTheme="minorHAnsi" w:cs="Arial"/>
        </w:rPr>
        <w:t>he most appropriate balance between costs and benefits would be achieved by</w:t>
      </w:r>
      <w:r w:rsidR="00A75995">
        <w:rPr>
          <w:rFonts w:asciiTheme="minorHAnsi" w:hAnsiTheme="minorHAnsi" w:cs="Arial"/>
        </w:rPr>
        <w:t xml:space="preserve"> the System Controller</w:t>
      </w:r>
      <w:r w:rsidR="003926E3" w:rsidRPr="00D9724C">
        <w:rPr>
          <w:rFonts w:asciiTheme="minorHAnsi" w:hAnsiTheme="minorHAnsi" w:cs="Arial"/>
        </w:rPr>
        <w:t xml:space="preserve"> procuring essential s</w:t>
      </w:r>
      <w:r>
        <w:rPr>
          <w:rFonts w:asciiTheme="minorHAnsi" w:hAnsiTheme="minorHAnsi" w:cs="Arial"/>
        </w:rPr>
        <w:t>ystem services through bilateral</w:t>
      </w:r>
      <w:r w:rsidR="003926E3" w:rsidRPr="00D9724C">
        <w:rPr>
          <w:rFonts w:asciiTheme="minorHAnsi" w:hAnsiTheme="minorHAnsi" w:cs="Arial"/>
        </w:rPr>
        <w:t xml:space="preserve"> contracts that are entered into following a competitive tender or reverse auction process.</w:t>
      </w:r>
    </w:p>
    <w:p w14:paraId="34F29908" w14:textId="1FB6C623" w:rsidR="003926E3" w:rsidRPr="00465555" w:rsidRDefault="00465555" w:rsidP="00465555">
      <w:pPr>
        <w:keepNext/>
        <w:rPr>
          <w:rFonts w:asciiTheme="minorHAnsi" w:hAnsiTheme="minorHAnsi" w:cs="Arial"/>
        </w:rPr>
      </w:pPr>
      <w:r>
        <w:rPr>
          <w:rFonts w:asciiTheme="minorHAnsi" w:hAnsiTheme="minorHAnsi" w:cs="Arial"/>
        </w:rPr>
        <w:t xml:space="preserve">A competitive provision framework for essential system services should </w:t>
      </w:r>
      <w:r w:rsidR="003926E3" w:rsidRPr="00D9724C">
        <w:rPr>
          <w:lang w:eastAsia="en-AU"/>
        </w:rPr>
        <w:t>empower and oblige the System Controller to enter into an essential system services contract, where:</w:t>
      </w:r>
    </w:p>
    <w:p w14:paraId="59E590F6" w14:textId="3F6BAB11" w:rsidR="003926E3" w:rsidRPr="00D9724C" w:rsidRDefault="003926E3" w:rsidP="00E02062">
      <w:pPr>
        <w:pStyle w:val="ListParagraph"/>
        <w:numPr>
          <w:ilvl w:val="1"/>
          <w:numId w:val="18"/>
        </w:numPr>
        <w:rPr>
          <w:lang w:eastAsia="en-AU"/>
        </w:rPr>
      </w:pPr>
      <w:r w:rsidRPr="00D9724C">
        <w:rPr>
          <w:lang w:eastAsia="en-AU"/>
        </w:rPr>
        <w:t xml:space="preserve">it does not consider it can meet the essential system services requirements from </w:t>
      </w:r>
      <w:r w:rsidR="00405D39">
        <w:rPr>
          <w:lang w:eastAsia="en-AU"/>
        </w:rPr>
        <w:t>Territory Generation’s (</w:t>
      </w:r>
      <w:r w:rsidR="00D525DA">
        <w:rPr>
          <w:lang w:eastAsia="en-AU"/>
        </w:rPr>
        <w:t>T-Gen</w:t>
      </w:r>
      <w:r w:rsidR="00405D39">
        <w:rPr>
          <w:lang w:eastAsia="en-AU"/>
        </w:rPr>
        <w:t>)</w:t>
      </w:r>
      <w:r w:rsidR="00D525DA">
        <w:rPr>
          <w:lang w:eastAsia="en-AU"/>
        </w:rPr>
        <w:t xml:space="preserve"> existing</w:t>
      </w:r>
      <w:r w:rsidR="00465555">
        <w:rPr>
          <w:lang w:eastAsia="en-AU"/>
        </w:rPr>
        <w:t xml:space="preserve"> facilities</w:t>
      </w:r>
      <w:r w:rsidRPr="00D9724C">
        <w:rPr>
          <w:lang w:eastAsia="en-AU"/>
        </w:rPr>
        <w:t>; or</w:t>
      </w:r>
    </w:p>
    <w:p w14:paraId="7FEA7B5F" w14:textId="666686D3" w:rsidR="00C03C2F" w:rsidRDefault="00465555" w:rsidP="00E02062">
      <w:pPr>
        <w:pStyle w:val="ListParagraph"/>
        <w:numPr>
          <w:ilvl w:val="1"/>
          <w:numId w:val="18"/>
        </w:numPr>
        <w:rPr>
          <w:lang w:eastAsia="en-AU"/>
        </w:rPr>
      </w:pPr>
      <w:proofErr w:type="gramStart"/>
      <w:r>
        <w:rPr>
          <w:lang w:eastAsia="en-AU"/>
        </w:rPr>
        <w:t>it</w:t>
      </w:r>
      <w:proofErr w:type="gramEnd"/>
      <w:r>
        <w:rPr>
          <w:lang w:eastAsia="en-AU"/>
        </w:rPr>
        <w:t xml:space="preserve"> considers an</w:t>
      </w:r>
      <w:r w:rsidR="003926E3" w:rsidRPr="00D9724C">
        <w:rPr>
          <w:lang w:eastAsia="en-AU"/>
        </w:rPr>
        <w:t xml:space="preserve"> essential system services contract provides a less expensive alternative to essential system services pr</w:t>
      </w:r>
      <w:r>
        <w:rPr>
          <w:lang w:eastAsia="en-AU"/>
        </w:rPr>
        <w:t>ovided by T-Gen</w:t>
      </w:r>
      <w:r w:rsidR="00A75995">
        <w:rPr>
          <w:lang w:eastAsia="en-AU"/>
        </w:rPr>
        <w:t xml:space="preserve">’s </w:t>
      </w:r>
      <w:r>
        <w:rPr>
          <w:lang w:eastAsia="en-AU"/>
        </w:rPr>
        <w:t>’s</w:t>
      </w:r>
      <w:r w:rsidR="003926E3" w:rsidRPr="00D9724C">
        <w:rPr>
          <w:lang w:eastAsia="en-AU"/>
        </w:rPr>
        <w:t xml:space="preserve"> </w:t>
      </w:r>
      <w:r w:rsidR="00D525DA">
        <w:rPr>
          <w:lang w:eastAsia="en-AU"/>
        </w:rPr>
        <w:t xml:space="preserve">existing </w:t>
      </w:r>
      <w:r w:rsidR="003926E3" w:rsidRPr="00D9724C">
        <w:rPr>
          <w:lang w:eastAsia="en-AU"/>
        </w:rPr>
        <w:t>facilities.</w:t>
      </w:r>
    </w:p>
    <w:p w14:paraId="064F4451" w14:textId="4D8457A6" w:rsidR="00900750" w:rsidRPr="00D9724C" w:rsidRDefault="00900750" w:rsidP="00F51F16">
      <w:pPr>
        <w:rPr>
          <w:lang w:eastAsia="en-AU"/>
        </w:rPr>
      </w:pPr>
      <w:r>
        <w:rPr>
          <w:lang w:eastAsia="en-AU"/>
        </w:rPr>
        <w:t>The provision of regulating frequency control</w:t>
      </w:r>
      <w:r w:rsidRPr="00900750">
        <w:rPr>
          <w:lang w:eastAsia="en-AU"/>
        </w:rPr>
        <w:t xml:space="preserve"> is the service most suited to provision through a spot market. </w:t>
      </w:r>
      <w:r>
        <w:rPr>
          <w:lang w:eastAsia="en-AU"/>
        </w:rPr>
        <w:t>As the market for regulating frequency control</w:t>
      </w:r>
      <w:r w:rsidRPr="00900750">
        <w:rPr>
          <w:lang w:eastAsia="en-AU"/>
        </w:rPr>
        <w:t xml:space="preserve"> becomes more competitive, the pot</w:t>
      </w:r>
      <w:r>
        <w:rPr>
          <w:lang w:eastAsia="en-AU"/>
        </w:rPr>
        <w:t>ential to provide it</w:t>
      </w:r>
      <w:r w:rsidRPr="00900750">
        <w:rPr>
          <w:lang w:eastAsia="en-AU"/>
        </w:rPr>
        <w:t xml:space="preserve"> through a spot market could be reviewed.</w:t>
      </w:r>
    </w:p>
    <w:p w14:paraId="62B44CC2" w14:textId="4D57E3A5" w:rsidR="003926E3" w:rsidRPr="009B0BA3" w:rsidRDefault="008A2B07" w:rsidP="00A7565D">
      <w:pPr>
        <w:pStyle w:val="Heading2"/>
        <w:numPr>
          <w:ilvl w:val="0"/>
          <w:numId w:val="0"/>
        </w:numPr>
        <w:rPr>
          <w:lang w:eastAsia="en-AU"/>
        </w:rPr>
      </w:pPr>
      <w:r>
        <w:rPr>
          <w:lang w:eastAsia="en-AU"/>
        </w:rPr>
        <w:t>Administered pricing and m</w:t>
      </w:r>
      <w:r w:rsidR="009B0BA3" w:rsidRPr="009B0BA3">
        <w:rPr>
          <w:lang w:eastAsia="en-AU"/>
        </w:rPr>
        <w:t>arket power mitigation</w:t>
      </w:r>
    </w:p>
    <w:p w14:paraId="0B3A74C2" w14:textId="72F1FA19" w:rsidR="003E425B" w:rsidRDefault="00E16FE2" w:rsidP="00C03C2F">
      <w:pPr>
        <w:rPr>
          <w:rFonts w:asciiTheme="minorHAnsi" w:hAnsiTheme="minorHAnsi" w:cs="Arial"/>
        </w:rPr>
      </w:pPr>
      <w:r>
        <w:rPr>
          <w:rFonts w:asciiTheme="minorHAnsi" w:hAnsiTheme="minorHAnsi" w:cs="Arial"/>
        </w:rPr>
        <w:t>Under the</w:t>
      </w:r>
      <w:r w:rsidR="003E425B" w:rsidRPr="003E425B">
        <w:rPr>
          <w:rFonts w:asciiTheme="minorHAnsi" w:hAnsiTheme="minorHAnsi" w:cs="Arial"/>
        </w:rPr>
        <w:t xml:space="preserve"> scope of this </w:t>
      </w:r>
      <w:r w:rsidR="003E425B">
        <w:rPr>
          <w:rFonts w:asciiTheme="minorHAnsi" w:hAnsiTheme="minorHAnsi" w:cs="Arial"/>
        </w:rPr>
        <w:t>Review</w:t>
      </w:r>
      <w:r w:rsidR="003E425B" w:rsidRPr="003E425B">
        <w:rPr>
          <w:rFonts w:asciiTheme="minorHAnsi" w:hAnsiTheme="minorHAnsi" w:cs="Arial"/>
        </w:rPr>
        <w:t>, there is a need to address administered pricing for the provision of essential system services by T-Gen under the current monopoly p</w:t>
      </w:r>
      <w:r>
        <w:rPr>
          <w:rFonts w:asciiTheme="minorHAnsi" w:hAnsiTheme="minorHAnsi" w:cs="Arial"/>
        </w:rPr>
        <w:t xml:space="preserve">rovision arrangements, and </w:t>
      </w:r>
      <w:r w:rsidR="003E425B" w:rsidRPr="003E425B">
        <w:rPr>
          <w:rFonts w:asciiTheme="minorHAnsi" w:hAnsiTheme="minorHAnsi" w:cs="Arial"/>
        </w:rPr>
        <w:t>market power mitigation arrangements</w:t>
      </w:r>
      <w:r>
        <w:rPr>
          <w:rFonts w:asciiTheme="minorHAnsi" w:hAnsiTheme="minorHAnsi" w:cs="Arial"/>
        </w:rPr>
        <w:t xml:space="preserve"> appropriate under </w:t>
      </w:r>
      <w:r w:rsidR="003E425B" w:rsidRPr="003E425B">
        <w:rPr>
          <w:rFonts w:asciiTheme="minorHAnsi" w:hAnsiTheme="minorHAnsi" w:cs="Arial"/>
        </w:rPr>
        <w:t>a competitive</w:t>
      </w:r>
      <w:r>
        <w:rPr>
          <w:rFonts w:asciiTheme="minorHAnsi" w:hAnsiTheme="minorHAnsi" w:cs="Arial"/>
        </w:rPr>
        <w:t xml:space="preserve"> provision</w:t>
      </w:r>
      <w:r w:rsidR="003E425B" w:rsidRPr="003E425B">
        <w:rPr>
          <w:rFonts w:asciiTheme="minorHAnsi" w:hAnsiTheme="minorHAnsi" w:cs="Arial"/>
        </w:rPr>
        <w:t xml:space="preserve"> framework.</w:t>
      </w:r>
    </w:p>
    <w:p w14:paraId="4A1E720B" w14:textId="10481159" w:rsidR="003E425B" w:rsidRPr="003E425B" w:rsidRDefault="00E16FE2" w:rsidP="00A7565D">
      <w:pPr>
        <w:pStyle w:val="Heading3"/>
        <w:numPr>
          <w:ilvl w:val="0"/>
          <w:numId w:val="0"/>
        </w:numPr>
        <w:rPr>
          <w:lang w:eastAsia="en-AU"/>
        </w:rPr>
      </w:pPr>
      <w:r>
        <w:rPr>
          <w:lang w:eastAsia="en-AU"/>
        </w:rPr>
        <w:t>Monopoly provision</w:t>
      </w:r>
    </w:p>
    <w:p w14:paraId="5E6C92D8" w14:textId="49D6EC36" w:rsidR="005F3D43" w:rsidRDefault="005F3D43" w:rsidP="005F3D43">
      <w:pPr>
        <w:rPr>
          <w:rFonts w:asciiTheme="minorHAnsi" w:hAnsiTheme="minorHAnsi" w:cs="Arial"/>
        </w:rPr>
      </w:pPr>
      <w:r>
        <w:rPr>
          <w:rFonts w:asciiTheme="minorHAnsi" w:hAnsiTheme="minorHAnsi" w:cs="Arial"/>
        </w:rPr>
        <w:t xml:space="preserve">Under the current arrangements for the monopoly provision of essential system service by T-Gen, an </w:t>
      </w:r>
      <w:r w:rsidRPr="005F3D43">
        <w:rPr>
          <w:rFonts w:asciiTheme="minorHAnsi" w:hAnsiTheme="minorHAnsi" w:cs="Arial"/>
        </w:rPr>
        <w:t>administered price is necessary because there is no mar</w:t>
      </w:r>
      <w:r>
        <w:rPr>
          <w:rFonts w:asciiTheme="minorHAnsi" w:hAnsiTheme="minorHAnsi" w:cs="Arial"/>
        </w:rPr>
        <w:t>ket to determine prices for essential system services.</w:t>
      </w:r>
    </w:p>
    <w:p w14:paraId="574E2F1A" w14:textId="767C1576" w:rsidR="00F418C4" w:rsidRDefault="00D525DA" w:rsidP="005F3D43">
      <w:pPr>
        <w:rPr>
          <w:rFonts w:asciiTheme="minorHAnsi" w:hAnsiTheme="minorHAnsi" w:cs="Arial"/>
        </w:rPr>
      </w:pPr>
      <w:r>
        <w:rPr>
          <w:rFonts w:asciiTheme="minorHAnsi" w:hAnsiTheme="minorHAnsi" w:cs="Arial"/>
        </w:rPr>
        <w:t>A codified process should be established</w:t>
      </w:r>
      <w:r w:rsidR="005F3D43">
        <w:rPr>
          <w:rFonts w:asciiTheme="minorHAnsi" w:hAnsiTheme="minorHAnsi" w:cs="Arial"/>
        </w:rPr>
        <w:t xml:space="preserve"> to ensure that the administered prices received by T-Gen</w:t>
      </w:r>
      <w:r w:rsidR="00CB3572">
        <w:rPr>
          <w:rFonts w:asciiTheme="minorHAnsi" w:hAnsiTheme="minorHAnsi" w:cs="Arial"/>
        </w:rPr>
        <w:t xml:space="preserve"> as the default provider</w:t>
      </w:r>
      <w:r w:rsidR="005F3D43">
        <w:rPr>
          <w:rFonts w:asciiTheme="minorHAnsi" w:hAnsiTheme="minorHAnsi" w:cs="Arial"/>
        </w:rPr>
        <w:t xml:space="preserve"> for each essential service it provides</w:t>
      </w:r>
      <w:r w:rsidR="00B82930">
        <w:rPr>
          <w:rFonts w:asciiTheme="minorHAnsi" w:hAnsiTheme="minorHAnsi" w:cs="Arial"/>
        </w:rPr>
        <w:t xml:space="preserve"> continue to reflect</w:t>
      </w:r>
      <w:r w:rsidR="005F3D43">
        <w:rPr>
          <w:rFonts w:asciiTheme="minorHAnsi" w:hAnsiTheme="minorHAnsi" w:cs="Arial"/>
        </w:rPr>
        <w:t xml:space="preserve"> the </w:t>
      </w:r>
      <w:r w:rsidR="00C432C7">
        <w:rPr>
          <w:rFonts w:asciiTheme="minorHAnsi" w:hAnsiTheme="minorHAnsi" w:cs="Arial"/>
        </w:rPr>
        <w:t xml:space="preserve">actual </w:t>
      </w:r>
      <w:r w:rsidR="005F3D43">
        <w:rPr>
          <w:rFonts w:asciiTheme="minorHAnsi" w:hAnsiTheme="minorHAnsi" w:cs="Arial"/>
        </w:rPr>
        <w:t>costs of providing the services over time.</w:t>
      </w:r>
    </w:p>
    <w:p w14:paraId="75AE2B4F" w14:textId="1D1C7CBA" w:rsidR="00B82930" w:rsidRDefault="00F418C4" w:rsidP="00A23B49">
      <w:pPr>
        <w:keepNext/>
        <w:rPr>
          <w:rFonts w:asciiTheme="minorHAnsi" w:hAnsiTheme="minorHAnsi" w:cs="Arial"/>
        </w:rPr>
      </w:pPr>
      <w:r>
        <w:rPr>
          <w:rFonts w:asciiTheme="minorHAnsi" w:hAnsiTheme="minorHAnsi" w:cs="Arial"/>
        </w:rPr>
        <w:lastRenderedPageBreak/>
        <w:t>This process s</w:t>
      </w:r>
      <w:r w:rsidR="00722B01">
        <w:rPr>
          <w:rFonts w:asciiTheme="minorHAnsi" w:hAnsiTheme="minorHAnsi" w:cs="Arial"/>
        </w:rPr>
        <w:t>hould require</w:t>
      </w:r>
      <w:r w:rsidR="00B82930">
        <w:rPr>
          <w:rFonts w:asciiTheme="minorHAnsi" w:hAnsiTheme="minorHAnsi" w:cs="Arial"/>
        </w:rPr>
        <w:t>, on an annual basis for the coming financial year:</w:t>
      </w:r>
    </w:p>
    <w:p w14:paraId="309575E6" w14:textId="7FAD3E7E" w:rsidR="00B82930" w:rsidRDefault="00B82930" w:rsidP="00E02062">
      <w:pPr>
        <w:pStyle w:val="ListParagraph"/>
        <w:numPr>
          <w:ilvl w:val="0"/>
          <w:numId w:val="19"/>
        </w:numPr>
        <w:rPr>
          <w:rFonts w:asciiTheme="minorHAnsi" w:hAnsiTheme="minorHAnsi" w:cs="Arial"/>
        </w:rPr>
      </w:pPr>
      <w:r>
        <w:rPr>
          <w:rFonts w:asciiTheme="minorHAnsi" w:hAnsiTheme="minorHAnsi" w:cs="Arial"/>
        </w:rPr>
        <w:t>the System Controller providing a</w:t>
      </w:r>
      <w:r w:rsidR="00C432C7">
        <w:rPr>
          <w:rFonts w:asciiTheme="minorHAnsi" w:hAnsiTheme="minorHAnsi" w:cs="Arial"/>
        </w:rPr>
        <w:t xml:space="preserve"> draft</w:t>
      </w:r>
      <w:r>
        <w:rPr>
          <w:rFonts w:asciiTheme="minorHAnsi" w:hAnsiTheme="minorHAnsi" w:cs="Arial"/>
        </w:rPr>
        <w:t xml:space="preserve"> Essential System Services Plan</w:t>
      </w:r>
      <w:r w:rsidR="00C432C7">
        <w:rPr>
          <w:rFonts w:asciiTheme="minorHAnsi" w:hAnsiTheme="minorHAnsi" w:cs="Arial"/>
        </w:rPr>
        <w:t xml:space="preserve"> to T-Gen</w:t>
      </w:r>
      <w:r>
        <w:rPr>
          <w:rFonts w:asciiTheme="minorHAnsi" w:hAnsiTheme="minorHAnsi" w:cs="Arial"/>
        </w:rPr>
        <w:t xml:space="preserve">, including </w:t>
      </w:r>
      <w:r w:rsidR="00C432C7">
        <w:rPr>
          <w:rFonts w:asciiTheme="minorHAnsi" w:hAnsiTheme="minorHAnsi" w:cs="Arial"/>
        </w:rPr>
        <w:t>draft updated</w:t>
      </w:r>
      <w:r w:rsidRPr="00B82930">
        <w:rPr>
          <w:rFonts w:asciiTheme="minorHAnsi" w:hAnsiTheme="minorHAnsi" w:cs="Arial"/>
        </w:rPr>
        <w:t xml:space="preserve"> essential system service standards for each of the NT regulated systems and forecast requirements to meet those standards</w:t>
      </w:r>
    </w:p>
    <w:p w14:paraId="4848E054" w14:textId="1150413D" w:rsidR="003E425B" w:rsidRDefault="00C432C7" w:rsidP="00E02062">
      <w:pPr>
        <w:pStyle w:val="ListParagraph"/>
        <w:numPr>
          <w:ilvl w:val="0"/>
          <w:numId w:val="19"/>
        </w:numPr>
        <w:rPr>
          <w:rFonts w:asciiTheme="minorHAnsi" w:hAnsiTheme="minorHAnsi" w:cs="Arial"/>
        </w:rPr>
      </w:pPr>
      <w:r>
        <w:rPr>
          <w:rFonts w:asciiTheme="minorHAnsi" w:hAnsiTheme="minorHAnsi" w:cs="Arial"/>
        </w:rPr>
        <w:t>based on the draft Essential System Services Plan, T-Gen providing the System Controller updated auditable actual estimated costs for each of the essential system services required, including unit variable</w:t>
      </w:r>
      <w:r w:rsidR="00E8030E">
        <w:rPr>
          <w:rFonts w:asciiTheme="minorHAnsi" w:hAnsiTheme="minorHAnsi" w:cs="Arial"/>
        </w:rPr>
        <w:t>, enablement and</w:t>
      </w:r>
      <w:r>
        <w:rPr>
          <w:rFonts w:asciiTheme="minorHAnsi" w:hAnsiTheme="minorHAnsi" w:cs="Arial"/>
        </w:rPr>
        <w:t xml:space="preserve"> fixed costs</w:t>
      </w:r>
    </w:p>
    <w:p w14:paraId="5C172C68" w14:textId="73EECA81" w:rsidR="00C432C7" w:rsidRPr="00C432C7" w:rsidRDefault="00C432C7" w:rsidP="00E02062">
      <w:pPr>
        <w:pStyle w:val="ListParagraph"/>
        <w:numPr>
          <w:ilvl w:val="0"/>
          <w:numId w:val="19"/>
        </w:numPr>
        <w:rPr>
          <w:rFonts w:asciiTheme="minorHAnsi" w:hAnsiTheme="minorHAnsi" w:cs="Arial"/>
        </w:rPr>
      </w:pPr>
      <w:proofErr w:type="gramStart"/>
      <w:r>
        <w:rPr>
          <w:rFonts w:asciiTheme="minorHAnsi" w:hAnsiTheme="minorHAnsi" w:cs="Arial"/>
        </w:rPr>
        <w:t>the</w:t>
      </w:r>
      <w:proofErr w:type="gramEnd"/>
      <w:r>
        <w:rPr>
          <w:rFonts w:asciiTheme="minorHAnsi" w:hAnsiTheme="minorHAnsi" w:cs="Arial"/>
        </w:rPr>
        <w:t xml:space="preserve"> System Controller to publish the proposed administered prices in its Essential System Services Plan</w:t>
      </w:r>
      <w:r w:rsidR="00A26C26">
        <w:rPr>
          <w:rFonts w:asciiTheme="minorHAnsi" w:hAnsiTheme="minorHAnsi" w:cs="Arial"/>
        </w:rPr>
        <w:t>,</w:t>
      </w:r>
      <w:r>
        <w:rPr>
          <w:rFonts w:asciiTheme="minorHAnsi" w:hAnsiTheme="minorHAnsi" w:cs="Arial"/>
        </w:rPr>
        <w:t xml:space="preserve"> </w:t>
      </w:r>
      <w:r w:rsidR="00A26C26">
        <w:rPr>
          <w:rFonts w:asciiTheme="minorHAnsi" w:hAnsiTheme="minorHAnsi" w:cs="Arial"/>
        </w:rPr>
        <w:t xml:space="preserve">with the prices </w:t>
      </w:r>
      <w:r>
        <w:rPr>
          <w:rFonts w:asciiTheme="minorHAnsi" w:hAnsiTheme="minorHAnsi" w:cs="Arial"/>
        </w:rPr>
        <w:t>subject to the approval of the Utilities Commission.</w:t>
      </w:r>
    </w:p>
    <w:p w14:paraId="2A7465EB" w14:textId="68F3E674" w:rsidR="003E425B" w:rsidRPr="003E425B" w:rsidRDefault="003E425B" w:rsidP="00A7565D">
      <w:pPr>
        <w:pStyle w:val="Heading3"/>
        <w:numPr>
          <w:ilvl w:val="0"/>
          <w:numId w:val="0"/>
        </w:numPr>
        <w:rPr>
          <w:lang w:eastAsia="en-AU"/>
        </w:rPr>
      </w:pPr>
      <w:r w:rsidRPr="003E425B">
        <w:rPr>
          <w:lang w:eastAsia="en-AU"/>
        </w:rPr>
        <w:t>Competitive provision</w:t>
      </w:r>
    </w:p>
    <w:p w14:paraId="4E75EC6B" w14:textId="4EE36DE4" w:rsidR="00DE46BA" w:rsidRDefault="003E425B" w:rsidP="00C03C2F">
      <w:pPr>
        <w:rPr>
          <w:rFonts w:asciiTheme="minorHAnsi" w:hAnsiTheme="minorHAnsi" w:cs="Arial"/>
        </w:rPr>
      </w:pPr>
      <w:r>
        <w:rPr>
          <w:rFonts w:asciiTheme="minorHAnsi" w:hAnsiTheme="minorHAnsi" w:cs="Arial"/>
        </w:rPr>
        <w:t>U</w:t>
      </w:r>
      <w:r w:rsidR="00DE46BA" w:rsidRPr="00DE46BA">
        <w:rPr>
          <w:rFonts w:asciiTheme="minorHAnsi" w:hAnsiTheme="minorHAnsi" w:cs="Arial"/>
        </w:rPr>
        <w:t>nder</w:t>
      </w:r>
      <w:r>
        <w:rPr>
          <w:rFonts w:asciiTheme="minorHAnsi" w:hAnsiTheme="minorHAnsi" w:cs="Arial"/>
        </w:rPr>
        <w:t xml:space="preserve"> the proposed</w:t>
      </w:r>
      <w:r w:rsidR="00DE46BA" w:rsidRPr="00DE46BA">
        <w:rPr>
          <w:rFonts w:asciiTheme="minorHAnsi" w:hAnsiTheme="minorHAnsi" w:cs="Arial"/>
        </w:rPr>
        <w:t xml:space="preserve"> competitive arrangements for the provision of essential system services</w:t>
      </w:r>
      <w:r w:rsidR="00DE46BA">
        <w:rPr>
          <w:rFonts w:asciiTheme="minorHAnsi" w:hAnsiTheme="minorHAnsi" w:cs="Arial"/>
        </w:rPr>
        <w:t>,</w:t>
      </w:r>
      <w:r w:rsidR="00DE46BA" w:rsidRPr="00DE46BA">
        <w:rPr>
          <w:rFonts w:asciiTheme="minorHAnsi" w:hAnsiTheme="minorHAnsi" w:cs="Arial"/>
        </w:rPr>
        <w:t xml:space="preserve"> market power mitigation measure</w:t>
      </w:r>
      <w:r w:rsidR="005B0A72">
        <w:rPr>
          <w:rFonts w:asciiTheme="minorHAnsi" w:hAnsiTheme="minorHAnsi" w:cs="Arial"/>
        </w:rPr>
        <w:t>s will</w:t>
      </w:r>
      <w:r w:rsidR="00E16FE2">
        <w:rPr>
          <w:rFonts w:asciiTheme="minorHAnsi" w:hAnsiTheme="minorHAnsi" w:cs="Arial"/>
        </w:rPr>
        <w:t xml:space="preserve"> be</w:t>
      </w:r>
      <w:r w:rsidR="00DE46BA">
        <w:rPr>
          <w:rFonts w:asciiTheme="minorHAnsi" w:hAnsiTheme="minorHAnsi" w:cs="Arial"/>
        </w:rPr>
        <w:t xml:space="preserve"> required because </w:t>
      </w:r>
      <w:r w:rsidR="005B0A72">
        <w:rPr>
          <w:rFonts w:asciiTheme="minorHAnsi" w:hAnsiTheme="minorHAnsi" w:cs="Arial"/>
        </w:rPr>
        <w:t xml:space="preserve">of the potential incentive or ability of system participants to exert market power given the </w:t>
      </w:r>
      <w:r w:rsidR="00DE46BA">
        <w:rPr>
          <w:rFonts w:asciiTheme="minorHAnsi" w:hAnsiTheme="minorHAnsi" w:cs="Arial"/>
        </w:rPr>
        <w:t>small size of the NT regulated systems, small number of system participants and</w:t>
      </w:r>
      <w:r w:rsidR="004B5B4B">
        <w:rPr>
          <w:rFonts w:asciiTheme="minorHAnsi" w:hAnsiTheme="minorHAnsi" w:cs="Arial"/>
        </w:rPr>
        <w:t xml:space="preserve"> current</w:t>
      </w:r>
      <w:r w:rsidR="00DE46BA">
        <w:rPr>
          <w:rFonts w:asciiTheme="minorHAnsi" w:hAnsiTheme="minorHAnsi" w:cs="Arial"/>
        </w:rPr>
        <w:t xml:space="preserve"> dominance of T-Gen</w:t>
      </w:r>
      <w:r w:rsidR="005B0A72">
        <w:rPr>
          <w:rFonts w:asciiTheme="minorHAnsi" w:hAnsiTheme="minorHAnsi" w:cs="Arial"/>
        </w:rPr>
        <w:t>.</w:t>
      </w:r>
    </w:p>
    <w:p w14:paraId="507A4485" w14:textId="668B708D" w:rsidR="00E16FE2" w:rsidRDefault="00327FE8" w:rsidP="00C03C2F">
      <w:pPr>
        <w:rPr>
          <w:rFonts w:asciiTheme="minorHAnsi" w:hAnsiTheme="minorHAnsi" w:cs="Arial"/>
        </w:rPr>
      </w:pPr>
      <w:r>
        <w:rPr>
          <w:rFonts w:asciiTheme="minorHAnsi" w:hAnsiTheme="minorHAnsi" w:cs="Arial"/>
        </w:rPr>
        <w:t>The market power mitigation measures should include:</w:t>
      </w:r>
    </w:p>
    <w:p w14:paraId="6781A5A7" w14:textId="2F7EC435" w:rsidR="00330998" w:rsidRPr="00330998" w:rsidRDefault="00330998" w:rsidP="00E02062">
      <w:pPr>
        <w:pStyle w:val="ListParagraph"/>
        <w:numPr>
          <w:ilvl w:val="0"/>
          <w:numId w:val="20"/>
        </w:numPr>
        <w:rPr>
          <w:rFonts w:asciiTheme="minorHAnsi" w:hAnsiTheme="minorHAnsi" w:cs="Arial"/>
        </w:rPr>
      </w:pPr>
      <w:r w:rsidRPr="00330998">
        <w:rPr>
          <w:rFonts w:asciiTheme="minorHAnsi" w:hAnsiTheme="minorHAnsi" w:cs="Arial"/>
        </w:rPr>
        <w:t>constraints on offer prices in any market mechanism</w:t>
      </w:r>
      <w:r>
        <w:rPr>
          <w:rFonts w:asciiTheme="minorHAnsi" w:hAnsiTheme="minorHAnsi" w:cs="Arial"/>
        </w:rPr>
        <w:t>, equivalent to the</w:t>
      </w:r>
      <w:r w:rsidR="006E3385">
        <w:rPr>
          <w:rFonts w:asciiTheme="minorHAnsi" w:hAnsiTheme="minorHAnsi" w:cs="Arial"/>
        </w:rPr>
        <w:t xml:space="preserve"> estimated</w:t>
      </w:r>
      <w:r>
        <w:rPr>
          <w:rFonts w:asciiTheme="minorHAnsi" w:hAnsiTheme="minorHAnsi" w:cs="Arial"/>
        </w:rPr>
        <w:t xml:space="preserve"> </w:t>
      </w:r>
      <w:r w:rsidR="00A60F6B">
        <w:rPr>
          <w:rFonts w:asciiTheme="minorHAnsi" w:hAnsiTheme="minorHAnsi" w:cs="Arial"/>
        </w:rPr>
        <w:t>long-run marginal cost (</w:t>
      </w:r>
      <w:r w:rsidR="00B65EA5">
        <w:rPr>
          <w:rFonts w:asciiTheme="minorHAnsi" w:hAnsiTheme="minorHAnsi" w:cs="Arial"/>
        </w:rPr>
        <w:t>LRMC</w:t>
      </w:r>
      <w:r w:rsidR="00A60F6B">
        <w:rPr>
          <w:rFonts w:asciiTheme="minorHAnsi" w:hAnsiTheme="minorHAnsi" w:cs="Arial"/>
        </w:rPr>
        <w:t>)</w:t>
      </w:r>
      <w:r w:rsidR="006E3385">
        <w:rPr>
          <w:rFonts w:asciiTheme="minorHAnsi" w:hAnsiTheme="minorHAnsi" w:cs="Arial"/>
        </w:rPr>
        <w:t xml:space="preserve"> of providing the service</w:t>
      </w:r>
    </w:p>
    <w:p w14:paraId="73BCE56F" w14:textId="360A752E" w:rsidR="00330998" w:rsidRPr="00330998" w:rsidRDefault="00330998" w:rsidP="00E02062">
      <w:pPr>
        <w:pStyle w:val="ListParagraph"/>
        <w:numPr>
          <w:ilvl w:val="0"/>
          <w:numId w:val="20"/>
        </w:numPr>
        <w:rPr>
          <w:rFonts w:asciiTheme="minorHAnsi" w:hAnsiTheme="minorHAnsi" w:cs="Arial"/>
        </w:rPr>
      </w:pPr>
      <w:proofErr w:type="gramStart"/>
      <w:r w:rsidRPr="00330998">
        <w:rPr>
          <w:rFonts w:asciiTheme="minorHAnsi" w:hAnsiTheme="minorHAnsi" w:cs="Arial"/>
        </w:rPr>
        <w:t>an</w:t>
      </w:r>
      <w:proofErr w:type="gramEnd"/>
      <w:r w:rsidRPr="00330998">
        <w:rPr>
          <w:rFonts w:asciiTheme="minorHAnsi" w:hAnsiTheme="minorHAnsi" w:cs="Arial"/>
        </w:rPr>
        <w:t xml:space="preserve"> obligation</w:t>
      </w:r>
      <w:r>
        <w:rPr>
          <w:rFonts w:asciiTheme="minorHAnsi" w:hAnsiTheme="minorHAnsi" w:cs="Arial"/>
        </w:rPr>
        <w:t xml:space="preserve"> on T-Gen</w:t>
      </w:r>
      <w:r w:rsidR="006E3385">
        <w:rPr>
          <w:rFonts w:asciiTheme="minorHAnsi" w:hAnsiTheme="minorHAnsi" w:cs="Arial"/>
        </w:rPr>
        <w:t>, when fulfilling its role as the default provider,</w:t>
      </w:r>
      <w:r w:rsidRPr="00330998">
        <w:rPr>
          <w:rFonts w:asciiTheme="minorHAnsi" w:hAnsiTheme="minorHAnsi" w:cs="Arial"/>
        </w:rPr>
        <w:t xml:space="preserve"> to supply required </w:t>
      </w:r>
      <w:r w:rsidR="009C2427">
        <w:rPr>
          <w:rFonts w:asciiTheme="minorHAnsi" w:hAnsiTheme="minorHAnsi" w:cs="Arial"/>
        </w:rPr>
        <w:t>amounts</w:t>
      </w:r>
      <w:r>
        <w:rPr>
          <w:rFonts w:asciiTheme="minorHAnsi" w:hAnsiTheme="minorHAnsi" w:cs="Arial"/>
        </w:rPr>
        <w:t xml:space="preserve"> of essential system services </w:t>
      </w:r>
      <w:r w:rsidR="00021258">
        <w:rPr>
          <w:rFonts w:asciiTheme="minorHAnsi" w:hAnsiTheme="minorHAnsi" w:cs="Arial"/>
        </w:rPr>
        <w:t>with the price it receives capped by its</w:t>
      </w:r>
      <w:r>
        <w:rPr>
          <w:rFonts w:asciiTheme="minorHAnsi" w:hAnsiTheme="minorHAnsi" w:cs="Arial"/>
        </w:rPr>
        <w:t xml:space="preserve"> actual cost</w:t>
      </w:r>
      <w:r w:rsidR="00021258">
        <w:rPr>
          <w:rFonts w:asciiTheme="minorHAnsi" w:hAnsiTheme="minorHAnsi" w:cs="Arial"/>
        </w:rPr>
        <w:t>s</w:t>
      </w:r>
      <w:r>
        <w:rPr>
          <w:rFonts w:asciiTheme="minorHAnsi" w:hAnsiTheme="minorHAnsi" w:cs="Arial"/>
        </w:rPr>
        <w:t>.</w:t>
      </w:r>
    </w:p>
    <w:p w14:paraId="64BD72D6" w14:textId="4EDB47C5" w:rsidR="00722B01" w:rsidRDefault="00075321" w:rsidP="00075321">
      <w:pPr>
        <w:rPr>
          <w:rFonts w:asciiTheme="minorHAnsi" w:hAnsiTheme="minorHAnsi" w:cs="Arial"/>
        </w:rPr>
      </w:pPr>
      <w:r>
        <w:rPr>
          <w:rFonts w:asciiTheme="minorHAnsi" w:hAnsiTheme="minorHAnsi" w:cs="Arial"/>
        </w:rPr>
        <w:t>Requirements should be codified to implement the market power mitigation measures, including:</w:t>
      </w:r>
    </w:p>
    <w:p w14:paraId="4D5D3160" w14:textId="318C2079" w:rsidR="00075321" w:rsidRDefault="00075321" w:rsidP="00E02062">
      <w:pPr>
        <w:pStyle w:val="ListParagraph"/>
        <w:numPr>
          <w:ilvl w:val="0"/>
          <w:numId w:val="21"/>
        </w:numPr>
        <w:rPr>
          <w:rFonts w:asciiTheme="minorHAnsi" w:hAnsiTheme="minorHAnsi" w:cs="Arial"/>
        </w:rPr>
      </w:pPr>
      <w:r>
        <w:rPr>
          <w:rFonts w:asciiTheme="minorHAnsi" w:hAnsiTheme="minorHAnsi" w:cs="Arial"/>
        </w:rPr>
        <w:t>for the System Controller to publish estimates of the LRMC of</w:t>
      </w:r>
      <w:r w:rsidR="001E7871">
        <w:rPr>
          <w:rFonts w:asciiTheme="minorHAnsi" w:hAnsiTheme="minorHAnsi" w:cs="Arial"/>
        </w:rPr>
        <w:t xml:space="preserve"> providing</w:t>
      </w:r>
      <w:r>
        <w:rPr>
          <w:rFonts w:asciiTheme="minorHAnsi" w:hAnsiTheme="minorHAnsi" w:cs="Arial"/>
        </w:rPr>
        <w:t xml:space="preserve"> each essential system service in the annual Essential System Servi</w:t>
      </w:r>
      <w:r w:rsidR="00CB3572">
        <w:rPr>
          <w:rFonts w:asciiTheme="minorHAnsi" w:hAnsiTheme="minorHAnsi" w:cs="Arial"/>
        </w:rPr>
        <w:t>ces Plan, as a cap on market offers in any competitive procurement</w:t>
      </w:r>
      <w:r w:rsidR="001E7871">
        <w:rPr>
          <w:rFonts w:asciiTheme="minorHAnsi" w:hAnsiTheme="minorHAnsi" w:cs="Arial"/>
        </w:rPr>
        <w:t xml:space="preserve"> process</w:t>
      </w:r>
      <w:r w:rsidR="00CB3572">
        <w:rPr>
          <w:rFonts w:asciiTheme="minorHAnsi" w:hAnsiTheme="minorHAnsi" w:cs="Arial"/>
        </w:rPr>
        <w:t xml:space="preserve"> and</w:t>
      </w:r>
      <w:r w:rsidR="001E7871">
        <w:rPr>
          <w:rFonts w:asciiTheme="minorHAnsi" w:hAnsiTheme="minorHAnsi" w:cs="Arial"/>
        </w:rPr>
        <w:t xml:space="preserve"> as a</w:t>
      </w:r>
      <w:r w:rsidR="00CB3572">
        <w:rPr>
          <w:rFonts w:asciiTheme="minorHAnsi" w:hAnsiTheme="minorHAnsi" w:cs="Arial"/>
        </w:rPr>
        <w:t xml:space="preserve"> guide</w:t>
      </w:r>
      <w:r w:rsidR="001E7871">
        <w:rPr>
          <w:rFonts w:asciiTheme="minorHAnsi" w:hAnsiTheme="minorHAnsi" w:cs="Arial"/>
        </w:rPr>
        <w:t xml:space="preserve"> to when it will seek to undertake competitive procurement</w:t>
      </w:r>
    </w:p>
    <w:p w14:paraId="49D1678A" w14:textId="66314E43" w:rsidR="00CB3572" w:rsidRPr="00CB3572" w:rsidRDefault="00CB3572" w:rsidP="00E02062">
      <w:pPr>
        <w:pStyle w:val="ListParagraph"/>
        <w:numPr>
          <w:ilvl w:val="0"/>
          <w:numId w:val="21"/>
        </w:numPr>
        <w:rPr>
          <w:rFonts w:asciiTheme="minorHAnsi" w:hAnsiTheme="minorHAnsi" w:cs="Arial"/>
        </w:rPr>
      </w:pPr>
      <w:proofErr w:type="gramStart"/>
      <w:r>
        <w:rPr>
          <w:rFonts w:asciiTheme="minorHAnsi" w:hAnsiTheme="minorHAnsi" w:cs="Arial"/>
        </w:rPr>
        <w:t>for</w:t>
      </w:r>
      <w:proofErr w:type="gramEnd"/>
      <w:r>
        <w:rPr>
          <w:rFonts w:asciiTheme="minorHAnsi" w:hAnsiTheme="minorHAnsi" w:cs="Arial"/>
        </w:rPr>
        <w:t xml:space="preserve"> the System Controller to publish the price to be received for services provided by </w:t>
      </w:r>
      <w:r w:rsidR="001E7871">
        <w:rPr>
          <w:rFonts w:asciiTheme="minorHAnsi" w:hAnsiTheme="minorHAnsi" w:cs="Arial"/>
        </w:rPr>
        <w:t xml:space="preserve">T-Gen when fulfilling its role as </w:t>
      </w:r>
      <w:r>
        <w:rPr>
          <w:rFonts w:asciiTheme="minorHAnsi" w:hAnsiTheme="minorHAnsi" w:cs="Arial"/>
        </w:rPr>
        <w:t xml:space="preserve">the default provider (as per the </w:t>
      </w:r>
      <w:r w:rsidR="001E7871">
        <w:rPr>
          <w:rFonts w:asciiTheme="minorHAnsi" w:hAnsiTheme="minorHAnsi" w:cs="Arial"/>
        </w:rPr>
        <w:t>proposed</w:t>
      </w:r>
      <w:r>
        <w:rPr>
          <w:rFonts w:asciiTheme="minorHAnsi" w:hAnsiTheme="minorHAnsi" w:cs="Arial"/>
        </w:rPr>
        <w:t xml:space="preserve"> codified process under ‘monopoly provision’).</w:t>
      </w:r>
    </w:p>
    <w:p w14:paraId="55A5ED03" w14:textId="2F53D85D" w:rsidR="00C03C2F" w:rsidRPr="002666C3" w:rsidRDefault="002666C3" w:rsidP="00A7565D">
      <w:pPr>
        <w:pStyle w:val="Heading2"/>
        <w:numPr>
          <w:ilvl w:val="0"/>
          <w:numId w:val="0"/>
        </w:numPr>
        <w:rPr>
          <w:lang w:eastAsia="en-AU"/>
        </w:rPr>
      </w:pPr>
      <w:r w:rsidRPr="002666C3">
        <w:rPr>
          <w:lang w:eastAsia="en-AU"/>
        </w:rPr>
        <w:t>Cost allocation and settlement</w:t>
      </w:r>
    </w:p>
    <w:p w14:paraId="2B84AE44" w14:textId="58BBD854" w:rsidR="00B91289" w:rsidRDefault="00B91289" w:rsidP="00B91289">
      <w:pPr>
        <w:rPr>
          <w:rFonts w:asciiTheme="minorHAnsi" w:hAnsiTheme="minorHAnsi" w:cs="Arial"/>
        </w:rPr>
      </w:pPr>
      <w:r>
        <w:rPr>
          <w:rFonts w:asciiTheme="minorHAnsi" w:hAnsiTheme="minorHAnsi" w:cs="Arial"/>
        </w:rPr>
        <w:t>The current arrangements, which allocate essential system services costs to licenced generators based on their proportion of total energy sent out</w:t>
      </w:r>
      <w:r w:rsidR="00372925">
        <w:rPr>
          <w:rFonts w:asciiTheme="minorHAnsi" w:hAnsiTheme="minorHAnsi" w:cs="Arial"/>
        </w:rPr>
        <w:t>,</w:t>
      </w:r>
      <w:r>
        <w:rPr>
          <w:rFonts w:asciiTheme="minorHAnsi" w:hAnsiTheme="minorHAnsi" w:cs="Arial"/>
        </w:rPr>
        <w:t xml:space="preserve"> are inequitable and inefficient because they do not allocate costs o</w:t>
      </w:r>
      <w:r w:rsidR="009C2427">
        <w:rPr>
          <w:rFonts w:asciiTheme="minorHAnsi" w:hAnsiTheme="minorHAnsi" w:cs="Arial"/>
        </w:rPr>
        <w:t>n</w:t>
      </w:r>
      <w:r>
        <w:rPr>
          <w:rFonts w:asciiTheme="minorHAnsi" w:hAnsiTheme="minorHAnsi" w:cs="Arial"/>
        </w:rPr>
        <w:t xml:space="preserve"> the basis of benefits received or contribution to </w:t>
      </w:r>
      <w:r w:rsidR="0076656C">
        <w:rPr>
          <w:rFonts w:asciiTheme="minorHAnsi" w:hAnsiTheme="minorHAnsi" w:cs="Arial"/>
        </w:rPr>
        <w:t>requirements</w:t>
      </w:r>
      <w:r>
        <w:rPr>
          <w:rFonts w:asciiTheme="minorHAnsi" w:hAnsiTheme="minorHAnsi" w:cs="Arial"/>
        </w:rPr>
        <w:t>.</w:t>
      </w:r>
    </w:p>
    <w:p w14:paraId="1C1E1EAD" w14:textId="54E5FF7A" w:rsidR="00B91289" w:rsidRDefault="00B91289" w:rsidP="00B91289">
      <w:pPr>
        <w:rPr>
          <w:rFonts w:asciiTheme="minorHAnsi" w:hAnsiTheme="minorHAnsi" w:cs="Arial"/>
        </w:rPr>
      </w:pPr>
      <w:r>
        <w:rPr>
          <w:rFonts w:asciiTheme="minorHAnsi" w:hAnsiTheme="minorHAnsi" w:cs="Arial"/>
        </w:rPr>
        <w:t xml:space="preserve">Costs for essential system services should instead be allocated according to the principle of </w:t>
      </w:r>
      <w:r w:rsidR="00A60F6B">
        <w:rPr>
          <w:rFonts w:asciiTheme="minorHAnsi" w:hAnsiTheme="minorHAnsi" w:cs="Arial"/>
        </w:rPr>
        <w:t>‘</w:t>
      </w:r>
      <w:r>
        <w:rPr>
          <w:rFonts w:asciiTheme="minorHAnsi" w:hAnsiTheme="minorHAnsi" w:cs="Arial"/>
        </w:rPr>
        <w:t>causer pays</w:t>
      </w:r>
      <w:r w:rsidR="00A60F6B">
        <w:rPr>
          <w:rFonts w:asciiTheme="minorHAnsi" w:hAnsiTheme="minorHAnsi" w:cs="Arial"/>
        </w:rPr>
        <w:t>’</w:t>
      </w:r>
      <w:r>
        <w:rPr>
          <w:rFonts w:asciiTheme="minorHAnsi" w:hAnsiTheme="minorHAnsi" w:cs="Arial"/>
        </w:rPr>
        <w:t xml:space="preserve">. </w:t>
      </w:r>
      <w:r w:rsidR="00372925">
        <w:rPr>
          <w:rFonts w:asciiTheme="minorHAnsi" w:hAnsiTheme="minorHAnsi" w:cs="Arial"/>
        </w:rPr>
        <w:t>Although</w:t>
      </w:r>
      <w:r>
        <w:rPr>
          <w:rFonts w:asciiTheme="minorHAnsi" w:hAnsiTheme="minorHAnsi" w:cs="Arial"/>
        </w:rPr>
        <w:t xml:space="preserve"> this approach is administratively</w:t>
      </w:r>
      <w:r w:rsidRPr="006120E5">
        <w:rPr>
          <w:rFonts w:asciiTheme="minorHAnsi" w:hAnsiTheme="minorHAnsi" w:cs="Arial"/>
        </w:rPr>
        <w:t xml:space="preserve"> mor</w:t>
      </w:r>
      <w:r>
        <w:rPr>
          <w:rFonts w:asciiTheme="minorHAnsi" w:hAnsiTheme="minorHAnsi" w:cs="Arial"/>
        </w:rPr>
        <w:t>e costly than the current approach</w:t>
      </w:r>
      <w:r w:rsidRPr="006120E5">
        <w:rPr>
          <w:rFonts w:asciiTheme="minorHAnsi" w:hAnsiTheme="minorHAnsi" w:cs="Arial"/>
        </w:rPr>
        <w:t>, it is more efficient as the c</w:t>
      </w:r>
      <w:r>
        <w:rPr>
          <w:rFonts w:asciiTheme="minorHAnsi" w:hAnsiTheme="minorHAnsi" w:cs="Arial"/>
        </w:rPr>
        <w:t>osts of providing essential system services are paid</w:t>
      </w:r>
      <w:r w:rsidRPr="006120E5">
        <w:rPr>
          <w:rFonts w:asciiTheme="minorHAnsi" w:hAnsiTheme="minorHAnsi" w:cs="Arial"/>
        </w:rPr>
        <w:t xml:space="preserve"> by the parties causing the need for those services. For this reason, it provides an incentive to parties t</w:t>
      </w:r>
      <w:r>
        <w:rPr>
          <w:rFonts w:asciiTheme="minorHAnsi" w:hAnsiTheme="minorHAnsi" w:cs="Arial"/>
        </w:rPr>
        <w:t xml:space="preserve">o minimise their </w:t>
      </w:r>
      <w:r w:rsidR="001E493E">
        <w:rPr>
          <w:rFonts w:asciiTheme="minorHAnsi" w:hAnsiTheme="minorHAnsi" w:cs="Arial"/>
        </w:rPr>
        <w:t>contribution to</w:t>
      </w:r>
      <w:r>
        <w:rPr>
          <w:rFonts w:asciiTheme="minorHAnsi" w:hAnsiTheme="minorHAnsi" w:cs="Arial"/>
        </w:rPr>
        <w:t xml:space="preserve"> essential system services requirements.</w:t>
      </w:r>
    </w:p>
    <w:p w14:paraId="4A8BA09F" w14:textId="1686E070" w:rsidR="00B91289" w:rsidRDefault="00B91289" w:rsidP="00B91289">
      <w:pPr>
        <w:rPr>
          <w:rFonts w:asciiTheme="minorHAnsi" w:hAnsiTheme="minorHAnsi" w:cs="Arial"/>
        </w:rPr>
      </w:pPr>
      <w:r>
        <w:rPr>
          <w:rFonts w:asciiTheme="minorHAnsi" w:hAnsiTheme="minorHAnsi" w:cs="Arial"/>
        </w:rPr>
        <w:t xml:space="preserve">The Design Development Team’s proposed allocation of costs by essential system service type is outlined in </w:t>
      </w:r>
      <w:r w:rsidR="009C2427">
        <w:rPr>
          <w:rFonts w:asciiTheme="minorHAnsi" w:hAnsiTheme="minorHAnsi" w:cs="Arial"/>
        </w:rPr>
        <w:t>T</w:t>
      </w:r>
      <w:r>
        <w:rPr>
          <w:rFonts w:asciiTheme="minorHAnsi" w:hAnsiTheme="minorHAnsi" w:cs="Arial"/>
        </w:rPr>
        <w:t xml:space="preserve">able </w:t>
      </w:r>
      <w:r w:rsidR="0076656C">
        <w:rPr>
          <w:rFonts w:asciiTheme="minorHAnsi" w:hAnsiTheme="minorHAnsi" w:cs="Arial"/>
        </w:rPr>
        <w:t>B</w:t>
      </w:r>
      <w:r>
        <w:rPr>
          <w:rFonts w:asciiTheme="minorHAnsi" w:hAnsiTheme="minorHAnsi" w:cs="Arial"/>
        </w:rPr>
        <w:t>.</w:t>
      </w:r>
    </w:p>
    <w:p w14:paraId="699DE26E" w14:textId="77777777" w:rsidR="00B91289" w:rsidRPr="008413D6" w:rsidRDefault="00B91289" w:rsidP="00B91289">
      <w:pPr>
        <w:keepNext/>
        <w:spacing w:after="0"/>
        <w:rPr>
          <w:rFonts w:asciiTheme="minorHAnsi" w:hAnsiTheme="minorHAnsi" w:cs="Arial"/>
          <w:b/>
        </w:rPr>
      </w:pPr>
      <w:r w:rsidRPr="008413D6">
        <w:rPr>
          <w:rFonts w:asciiTheme="minorHAnsi" w:hAnsiTheme="minorHAnsi" w:cs="Arial"/>
          <w:b/>
        </w:rPr>
        <w:lastRenderedPageBreak/>
        <w:t>Table B</w:t>
      </w:r>
      <w:r w:rsidRPr="008413D6">
        <w:rPr>
          <w:rFonts w:asciiTheme="minorHAnsi" w:hAnsiTheme="minorHAnsi" w:cs="Arial"/>
          <w:b/>
        </w:rPr>
        <w:tab/>
        <w:t>Party liable for each essential system service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4"/>
        <w:gridCol w:w="6264"/>
      </w:tblGrid>
      <w:tr w:rsidR="00B91289" w:rsidRPr="008413D6" w14:paraId="71AFA7F9" w14:textId="77777777" w:rsidTr="00A7565D">
        <w:trPr>
          <w:tblHeader/>
        </w:trPr>
        <w:tc>
          <w:tcPr>
            <w:tcW w:w="0" w:type="auto"/>
            <w:tcBorders>
              <w:top w:val="single" w:sz="4" w:space="0" w:color="auto"/>
              <w:bottom w:val="single" w:sz="4" w:space="0" w:color="auto"/>
            </w:tcBorders>
          </w:tcPr>
          <w:p w14:paraId="69047AAA" w14:textId="77777777" w:rsidR="00B91289" w:rsidRPr="008413D6" w:rsidRDefault="00B91289" w:rsidP="00074521">
            <w:pPr>
              <w:keepNext/>
              <w:spacing w:before="60" w:after="60"/>
              <w:rPr>
                <w:rFonts w:asciiTheme="minorHAnsi" w:hAnsiTheme="minorHAnsi" w:cs="Arial"/>
                <w:b/>
              </w:rPr>
            </w:pPr>
            <w:r w:rsidRPr="008413D6">
              <w:rPr>
                <w:rFonts w:asciiTheme="minorHAnsi" w:hAnsiTheme="minorHAnsi"/>
                <w:b/>
              </w:rPr>
              <w:t>Option</w:t>
            </w:r>
          </w:p>
        </w:tc>
        <w:tc>
          <w:tcPr>
            <w:tcW w:w="0" w:type="auto"/>
            <w:tcBorders>
              <w:top w:val="single" w:sz="4" w:space="0" w:color="auto"/>
              <w:bottom w:val="single" w:sz="4" w:space="0" w:color="auto"/>
            </w:tcBorders>
          </w:tcPr>
          <w:p w14:paraId="6BE2AA64" w14:textId="7629816D" w:rsidR="00B91289" w:rsidRPr="008413D6" w:rsidRDefault="005B2C28" w:rsidP="00074521">
            <w:pPr>
              <w:keepNext/>
              <w:spacing w:before="60" w:after="60"/>
              <w:rPr>
                <w:rFonts w:asciiTheme="minorHAnsi" w:hAnsiTheme="minorHAnsi"/>
                <w:b/>
              </w:rPr>
            </w:pPr>
            <w:r w:rsidRPr="008413D6">
              <w:rPr>
                <w:rFonts w:asciiTheme="minorHAnsi" w:hAnsiTheme="minorHAnsi"/>
                <w:b/>
              </w:rPr>
              <w:t>Allocation</w:t>
            </w:r>
          </w:p>
        </w:tc>
      </w:tr>
      <w:tr w:rsidR="00B91289" w:rsidRPr="008413D6" w14:paraId="41639AF3" w14:textId="77777777" w:rsidTr="00074521">
        <w:tc>
          <w:tcPr>
            <w:tcW w:w="0" w:type="auto"/>
            <w:tcBorders>
              <w:top w:val="single" w:sz="4" w:space="0" w:color="auto"/>
              <w:bottom w:val="single" w:sz="4" w:space="0" w:color="auto"/>
            </w:tcBorders>
          </w:tcPr>
          <w:p w14:paraId="7ACC0027" w14:textId="77777777" w:rsidR="00B91289" w:rsidRPr="008413D6" w:rsidRDefault="00B91289" w:rsidP="009A5742">
            <w:pPr>
              <w:keepNext/>
              <w:spacing w:before="60" w:after="60"/>
              <w:rPr>
                <w:rFonts w:asciiTheme="minorHAnsi" w:hAnsiTheme="minorHAnsi" w:cs="Arial"/>
              </w:rPr>
            </w:pPr>
            <w:r w:rsidRPr="008413D6">
              <w:rPr>
                <w:rFonts w:asciiTheme="minorHAnsi" w:hAnsiTheme="minorHAnsi" w:cs="Arial"/>
              </w:rPr>
              <w:t>Contingency raise</w:t>
            </w:r>
          </w:p>
        </w:tc>
        <w:tc>
          <w:tcPr>
            <w:tcW w:w="0" w:type="auto"/>
            <w:tcBorders>
              <w:top w:val="single" w:sz="4" w:space="0" w:color="auto"/>
              <w:bottom w:val="single" w:sz="4" w:space="0" w:color="auto"/>
            </w:tcBorders>
          </w:tcPr>
          <w:p w14:paraId="7F2ECC61" w14:textId="77777777" w:rsidR="00B91289" w:rsidRPr="00A23B49" w:rsidRDefault="00B91289" w:rsidP="009A5742">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Generators</w:t>
            </w:r>
          </w:p>
        </w:tc>
      </w:tr>
      <w:tr w:rsidR="00B91289" w:rsidRPr="008413D6" w14:paraId="3F0D4C50" w14:textId="77777777" w:rsidTr="00074521">
        <w:tc>
          <w:tcPr>
            <w:tcW w:w="0" w:type="auto"/>
            <w:tcBorders>
              <w:top w:val="single" w:sz="4" w:space="0" w:color="auto"/>
              <w:bottom w:val="single" w:sz="4" w:space="0" w:color="auto"/>
            </w:tcBorders>
          </w:tcPr>
          <w:p w14:paraId="253C43E8" w14:textId="77777777" w:rsidR="00B91289" w:rsidRPr="008413D6" w:rsidRDefault="00B91289" w:rsidP="009A5742">
            <w:pPr>
              <w:keepNext/>
              <w:spacing w:before="60" w:after="60"/>
              <w:rPr>
                <w:rFonts w:asciiTheme="minorHAnsi" w:hAnsiTheme="minorHAnsi" w:cs="Arial"/>
              </w:rPr>
            </w:pPr>
            <w:r w:rsidRPr="008413D6">
              <w:rPr>
                <w:rFonts w:asciiTheme="minorHAnsi" w:hAnsiTheme="minorHAnsi" w:cs="Arial"/>
              </w:rPr>
              <w:t>Contingency lower</w:t>
            </w:r>
          </w:p>
        </w:tc>
        <w:tc>
          <w:tcPr>
            <w:tcW w:w="0" w:type="auto"/>
            <w:tcBorders>
              <w:top w:val="single" w:sz="4" w:space="0" w:color="auto"/>
              <w:bottom w:val="single" w:sz="4" w:space="0" w:color="auto"/>
            </w:tcBorders>
          </w:tcPr>
          <w:p w14:paraId="1405D6C7" w14:textId="24D4C16C" w:rsidR="00B91289" w:rsidRPr="00A23B49" w:rsidRDefault="00B91289" w:rsidP="009A5742">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Customer</w:t>
            </w:r>
            <w:r w:rsidR="005B2C28" w:rsidRPr="00A23B49">
              <w:rPr>
                <w:rFonts w:asciiTheme="minorHAnsi" w:hAnsiTheme="minorHAnsi" w:cs="Arial"/>
                <w:sz w:val="22"/>
                <w:szCs w:val="22"/>
              </w:rPr>
              <w:t>s</w:t>
            </w:r>
          </w:p>
        </w:tc>
      </w:tr>
      <w:tr w:rsidR="00B91289" w:rsidRPr="008413D6" w14:paraId="7DBC2DA2" w14:textId="77777777" w:rsidTr="00074521">
        <w:tc>
          <w:tcPr>
            <w:tcW w:w="0" w:type="auto"/>
            <w:tcBorders>
              <w:top w:val="single" w:sz="4" w:space="0" w:color="auto"/>
              <w:bottom w:val="single" w:sz="4" w:space="0" w:color="auto"/>
            </w:tcBorders>
          </w:tcPr>
          <w:p w14:paraId="7C355F7E" w14:textId="77777777" w:rsidR="00B91289" w:rsidRPr="008413D6" w:rsidRDefault="00B91289" w:rsidP="009A5742">
            <w:pPr>
              <w:keepNext/>
              <w:spacing w:before="60" w:after="60"/>
              <w:rPr>
                <w:rFonts w:asciiTheme="minorHAnsi" w:hAnsiTheme="minorHAnsi" w:cs="Arial"/>
              </w:rPr>
            </w:pPr>
            <w:proofErr w:type="spellStart"/>
            <w:r w:rsidRPr="008413D6">
              <w:rPr>
                <w:rFonts w:asciiTheme="minorHAnsi" w:hAnsiTheme="minorHAnsi" w:cs="Arial"/>
              </w:rPr>
              <w:t>RoCoF</w:t>
            </w:r>
            <w:proofErr w:type="spellEnd"/>
          </w:p>
        </w:tc>
        <w:tc>
          <w:tcPr>
            <w:tcW w:w="0" w:type="auto"/>
            <w:tcBorders>
              <w:top w:val="single" w:sz="4" w:space="0" w:color="auto"/>
              <w:bottom w:val="single" w:sz="4" w:space="0" w:color="auto"/>
            </w:tcBorders>
          </w:tcPr>
          <w:p w14:paraId="269D5B16" w14:textId="79CBCE36" w:rsidR="00B91289" w:rsidRPr="00A23B49" w:rsidRDefault="00B91289" w:rsidP="009A5742">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Part</w:t>
            </w:r>
            <w:r w:rsidR="00F023CC" w:rsidRPr="00A23B49">
              <w:rPr>
                <w:rFonts w:asciiTheme="minorHAnsi" w:hAnsiTheme="minorHAnsi" w:cs="Arial"/>
                <w:sz w:val="22"/>
                <w:szCs w:val="22"/>
              </w:rPr>
              <w:t>ies</w:t>
            </w:r>
            <w:r w:rsidRPr="00A23B49">
              <w:rPr>
                <w:rFonts w:asciiTheme="minorHAnsi" w:hAnsiTheme="minorHAnsi" w:cs="Arial"/>
                <w:sz w:val="22"/>
                <w:szCs w:val="22"/>
              </w:rPr>
              <w:t xml:space="preserve"> that cause the service to be enabled</w:t>
            </w:r>
          </w:p>
        </w:tc>
      </w:tr>
      <w:tr w:rsidR="00B91289" w:rsidRPr="008413D6" w14:paraId="5D9933F3" w14:textId="77777777" w:rsidTr="00074521">
        <w:tc>
          <w:tcPr>
            <w:tcW w:w="0" w:type="auto"/>
            <w:tcBorders>
              <w:top w:val="single" w:sz="4" w:space="0" w:color="auto"/>
              <w:bottom w:val="single" w:sz="4" w:space="0" w:color="auto"/>
            </w:tcBorders>
          </w:tcPr>
          <w:p w14:paraId="372FAD78" w14:textId="77777777" w:rsidR="00B91289" w:rsidRPr="008413D6" w:rsidRDefault="00B91289" w:rsidP="009A5742">
            <w:pPr>
              <w:keepNext/>
              <w:spacing w:before="60" w:after="60"/>
              <w:rPr>
                <w:rFonts w:asciiTheme="minorHAnsi" w:hAnsiTheme="minorHAnsi" w:cs="Arial"/>
              </w:rPr>
            </w:pPr>
            <w:r w:rsidRPr="008413D6">
              <w:rPr>
                <w:rFonts w:asciiTheme="minorHAnsi" w:hAnsiTheme="minorHAnsi" w:cs="Arial"/>
              </w:rPr>
              <w:t>Regulation</w:t>
            </w:r>
          </w:p>
        </w:tc>
        <w:tc>
          <w:tcPr>
            <w:tcW w:w="0" w:type="auto"/>
            <w:tcBorders>
              <w:top w:val="single" w:sz="4" w:space="0" w:color="auto"/>
              <w:bottom w:val="single" w:sz="4" w:space="0" w:color="auto"/>
            </w:tcBorders>
          </w:tcPr>
          <w:p w14:paraId="3B1E93C2" w14:textId="77777777" w:rsidR="00B91289" w:rsidRPr="00A23B49" w:rsidRDefault="00B91289" w:rsidP="009A5742">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Generators and customers that cause frequency deviations</w:t>
            </w:r>
          </w:p>
          <w:p w14:paraId="1F17580A" w14:textId="1AB2F970" w:rsidR="00B91289" w:rsidRPr="00A23B49" w:rsidRDefault="00B91289" w:rsidP="009A5742">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 xml:space="preserve">Customers without SCADA </w:t>
            </w:r>
            <w:r w:rsidR="00F023CC" w:rsidRPr="00A23B49">
              <w:rPr>
                <w:rFonts w:asciiTheme="minorHAnsi" w:hAnsiTheme="minorHAnsi" w:cs="Arial"/>
                <w:sz w:val="22"/>
                <w:szCs w:val="22"/>
              </w:rPr>
              <w:t>—</w:t>
            </w:r>
            <w:r w:rsidRPr="00A23B49">
              <w:rPr>
                <w:rFonts w:asciiTheme="minorHAnsi" w:hAnsiTheme="minorHAnsi" w:cs="Arial"/>
                <w:sz w:val="22"/>
                <w:szCs w:val="22"/>
              </w:rPr>
              <w:t xml:space="preserve"> balance</w:t>
            </w:r>
          </w:p>
        </w:tc>
      </w:tr>
      <w:tr w:rsidR="00B91289" w:rsidRPr="008413D6" w14:paraId="3119EB13" w14:textId="77777777" w:rsidTr="00074521">
        <w:tc>
          <w:tcPr>
            <w:tcW w:w="0" w:type="auto"/>
            <w:tcBorders>
              <w:top w:val="single" w:sz="4" w:space="0" w:color="auto"/>
              <w:bottom w:val="single" w:sz="4" w:space="0" w:color="auto"/>
            </w:tcBorders>
          </w:tcPr>
          <w:p w14:paraId="596AD395" w14:textId="5F17EF10" w:rsidR="00B91289" w:rsidRPr="008413D6" w:rsidRDefault="00B91289" w:rsidP="009A5742">
            <w:pPr>
              <w:keepNext/>
              <w:spacing w:before="60" w:after="60"/>
              <w:rPr>
                <w:rFonts w:asciiTheme="minorHAnsi" w:hAnsiTheme="minorHAnsi" w:cs="Arial"/>
              </w:rPr>
            </w:pPr>
            <w:r w:rsidRPr="008413D6">
              <w:rPr>
                <w:rFonts w:asciiTheme="minorHAnsi" w:hAnsiTheme="minorHAnsi" w:cs="Arial"/>
              </w:rPr>
              <w:t>Voltage management / network support</w:t>
            </w:r>
          </w:p>
        </w:tc>
        <w:tc>
          <w:tcPr>
            <w:tcW w:w="0" w:type="auto"/>
            <w:tcBorders>
              <w:top w:val="single" w:sz="4" w:space="0" w:color="auto"/>
              <w:bottom w:val="single" w:sz="4" w:space="0" w:color="auto"/>
            </w:tcBorders>
          </w:tcPr>
          <w:p w14:paraId="7243E0F4" w14:textId="77777777" w:rsidR="00B91289" w:rsidRPr="00A23B49" w:rsidRDefault="00B91289" w:rsidP="009A5742">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Customers</w:t>
            </w:r>
          </w:p>
        </w:tc>
      </w:tr>
      <w:tr w:rsidR="00B91289" w:rsidRPr="008413D6" w14:paraId="107863FE" w14:textId="77777777" w:rsidTr="00074521">
        <w:tc>
          <w:tcPr>
            <w:tcW w:w="0" w:type="auto"/>
            <w:tcBorders>
              <w:top w:val="single" w:sz="4" w:space="0" w:color="auto"/>
              <w:bottom w:val="single" w:sz="4" w:space="0" w:color="auto"/>
            </w:tcBorders>
          </w:tcPr>
          <w:p w14:paraId="4A5C0A40" w14:textId="77777777" w:rsidR="00B91289" w:rsidRPr="008413D6" w:rsidRDefault="00B91289" w:rsidP="009A5742">
            <w:pPr>
              <w:keepNext/>
              <w:spacing w:before="60" w:after="60"/>
              <w:rPr>
                <w:rFonts w:asciiTheme="minorHAnsi" w:hAnsiTheme="minorHAnsi" w:cs="Arial"/>
              </w:rPr>
            </w:pPr>
            <w:r w:rsidRPr="008413D6">
              <w:rPr>
                <w:rFonts w:asciiTheme="minorHAnsi" w:hAnsiTheme="minorHAnsi" w:cs="Arial"/>
              </w:rPr>
              <w:t>System Restart</w:t>
            </w:r>
          </w:p>
        </w:tc>
        <w:tc>
          <w:tcPr>
            <w:tcW w:w="0" w:type="auto"/>
            <w:tcBorders>
              <w:top w:val="single" w:sz="4" w:space="0" w:color="auto"/>
              <w:bottom w:val="single" w:sz="4" w:space="0" w:color="auto"/>
            </w:tcBorders>
          </w:tcPr>
          <w:p w14:paraId="480204A1" w14:textId="77777777" w:rsidR="00B91289" w:rsidRPr="00A23B49" w:rsidRDefault="00B91289" w:rsidP="009A5742">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Generators and customers</w:t>
            </w:r>
          </w:p>
        </w:tc>
      </w:tr>
      <w:tr w:rsidR="00B91289" w:rsidRPr="008413D6" w14:paraId="48D8F43A" w14:textId="77777777" w:rsidTr="00074521">
        <w:tc>
          <w:tcPr>
            <w:tcW w:w="0" w:type="auto"/>
            <w:tcBorders>
              <w:top w:val="single" w:sz="4" w:space="0" w:color="auto"/>
              <w:bottom w:val="single" w:sz="4" w:space="0" w:color="auto"/>
            </w:tcBorders>
          </w:tcPr>
          <w:p w14:paraId="75A0B008" w14:textId="77777777" w:rsidR="00B91289" w:rsidRPr="008413D6" w:rsidRDefault="00B91289" w:rsidP="009A5742">
            <w:pPr>
              <w:keepNext/>
              <w:spacing w:before="60" w:after="60"/>
              <w:rPr>
                <w:rFonts w:asciiTheme="minorHAnsi" w:hAnsiTheme="minorHAnsi" w:cs="Arial"/>
              </w:rPr>
            </w:pPr>
            <w:r w:rsidRPr="008413D6">
              <w:rPr>
                <w:rFonts w:asciiTheme="minorHAnsi" w:hAnsiTheme="minorHAnsi" w:cs="Arial"/>
              </w:rPr>
              <w:t>System Strength</w:t>
            </w:r>
          </w:p>
        </w:tc>
        <w:tc>
          <w:tcPr>
            <w:tcW w:w="0" w:type="auto"/>
            <w:tcBorders>
              <w:top w:val="single" w:sz="4" w:space="0" w:color="auto"/>
              <w:bottom w:val="single" w:sz="4" w:space="0" w:color="auto"/>
            </w:tcBorders>
          </w:tcPr>
          <w:p w14:paraId="308E1BEB" w14:textId="77777777" w:rsidR="00B91289" w:rsidRPr="00A23B49" w:rsidRDefault="00B91289" w:rsidP="009A5742">
            <w:pPr>
              <w:pStyle w:val="Body"/>
              <w:keepNext/>
              <w:spacing w:after="60"/>
              <w:rPr>
                <w:rFonts w:asciiTheme="minorHAnsi" w:hAnsiTheme="minorHAnsi" w:cs="Arial"/>
                <w:sz w:val="22"/>
                <w:szCs w:val="22"/>
              </w:rPr>
            </w:pPr>
            <w:r w:rsidRPr="00A23B49">
              <w:rPr>
                <w:rFonts w:asciiTheme="minorHAnsi" w:hAnsiTheme="minorHAnsi" w:cs="Arial"/>
                <w:sz w:val="22"/>
                <w:szCs w:val="22"/>
              </w:rPr>
              <w:t xml:space="preserve">Where possible, </w:t>
            </w:r>
            <w:proofErr w:type="spellStart"/>
            <w:r w:rsidRPr="00A23B49">
              <w:rPr>
                <w:rFonts w:asciiTheme="minorHAnsi" w:hAnsiTheme="minorHAnsi" w:cs="Arial"/>
                <w:sz w:val="22"/>
                <w:szCs w:val="22"/>
              </w:rPr>
              <w:t>party</w:t>
            </w:r>
            <w:proofErr w:type="spellEnd"/>
            <w:r w:rsidRPr="00A23B49">
              <w:rPr>
                <w:rFonts w:asciiTheme="minorHAnsi" w:hAnsiTheme="minorHAnsi" w:cs="Arial"/>
                <w:sz w:val="22"/>
                <w:szCs w:val="22"/>
              </w:rPr>
              <w:t xml:space="preserve"> responsible for the system strength issue</w:t>
            </w:r>
          </w:p>
          <w:p w14:paraId="56D1C755" w14:textId="343B2D8D" w:rsidR="00B91289" w:rsidRPr="00A23B49" w:rsidRDefault="00B91289" w:rsidP="009A5742">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 xml:space="preserve">Customers </w:t>
            </w:r>
            <w:r w:rsidR="00F023CC" w:rsidRPr="00A23B49">
              <w:rPr>
                <w:rFonts w:asciiTheme="minorHAnsi" w:hAnsiTheme="minorHAnsi" w:cs="Arial"/>
                <w:sz w:val="22"/>
                <w:szCs w:val="22"/>
              </w:rPr>
              <w:t>—</w:t>
            </w:r>
            <w:r w:rsidRPr="00A23B49">
              <w:rPr>
                <w:rFonts w:asciiTheme="minorHAnsi" w:hAnsiTheme="minorHAnsi" w:cs="Arial"/>
                <w:sz w:val="22"/>
                <w:szCs w:val="22"/>
              </w:rPr>
              <w:t xml:space="preserve"> balance</w:t>
            </w:r>
          </w:p>
        </w:tc>
      </w:tr>
    </w:tbl>
    <w:p w14:paraId="461E2192" w14:textId="77777777" w:rsidR="00B91289" w:rsidRDefault="00B91289" w:rsidP="00B91289">
      <w:pPr>
        <w:rPr>
          <w:rFonts w:asciiTheme="minorHAnsi" w:hAnsiTheme="minorHAnsi" w:cs="Arial"/>
        </w:rPr>
      </w:pPr>
    </w:p>
    <w:p w14:paraId="0CFAC957" w14:textId="067C0EED" w:rsidR="00B91289" w:rsidRDefault="00B91289" w:rsidP="00B91289">
      <w:pPr>
        <w:rPr>
          <w:rFonts w:asciiTheme="minorHAnsi" w:hAnsiTheme="minorHAnsi" w:cs="Arial"/>
        </w:rPr>
      </w:pPr>
      <w:r>
        <w:rPr>
          <w:rFonts w:asciiTheme="minorHAnsi" w:hAnsiTheme="minorHAnsi" w:cs="Arial"/>
        </w:rPr>
        <w:t>Detailed calculations for cost allocation would need to be determined as part of the development of the detailed essential system services settlement rules.</w:t>
      </w:r>
    </w:p>
    <w:p w14:paraId="0C0AC648" w14:textId="5D4F53E9" w:rsidR="00B91289" w:rsidRPr="00580494" w:rsidRDefault="00B91289" w:rsidP="00B91289">
      <w:pPr>
        <w:rPr>
          <w:rFonts w:asciiTheme="minorHAnsi" w:hAnsiTheme="minorHAnsi" w:cs="Arial"/>
        </w:rPr>
      </w:pPr>
      <w:r>
        <w:rPr>
          <w:rFonts w:asciiTheme="minorHAnsi" w:hAnsiTheme="minorHAnsi" w:cs="Arial"/>
        </w:rPr>
        <w:t>T</w:t>
      </w:r>
      <w:r w:rsidRPr="00580494">
        <w:rPr>
          <w:rFonts w:asciiTheme="minorHAnsi" w:hAnsiTheme="minorHAnsi" w:cs="Arial"/>
        </w:rPr>
        <w:t>he existing arrangements for settlement of essential system services, whereby the System Controller prepares statements for invoicin</w:t>
      </w:r>
      <w:r>
        <w:rPr>
          <w:rFonts w:asciiTheme="minorHAnsi" w:hAnsiTheme="minorHAnsi" w:cs="Arial"/>
        </w:rPr>
        <w:t xml:space="preserve">g by T-Gen, would be inadequate </w:t>
      </w:r>
      <w:r w:rsidR="008F39E9">
        <w:rPr>
          <w:rFonts w:asciiTheme="minorHAnsi" w:hAnsiTheme="minorHAnsi" w:cs="Arial"/>
        </w:rPr>
        <w:t>under</w:t>
      </w:r>
      <w:r>
        <w:rPr>
          <w:rFonts w:asciiTheme="minorHAnsi" w:hAnsiTheme="minorHAnsi" w:cs="Arial"/>
        </w:rPr>
        <w:t xml:space="preserve"> a competitive service provision framework.</w:t>
      </w:r>
    </w:p>
    <w:p w14:paraId="14656A10" w14:textId="37EA2F44" w:rsidR="00B91289" w:rsidRDefault="00B91289" w:rsidP="00B91289">
      <w:pPr>
        <w:rPr>
          <w:rFonts w:asciiTheme="minorHAnsi" w:hAnsiTheme="minorHAnsi" w:cs="Arial"/>
        </w:rPr>
      </w:pPr>
      <w:r w:rsidRPr="00580494">
        <w:rPr>
          <w:rFonts w:asciiTheme="minorHAnsi" w:hAnsiTheme="minorHAnsi" w:cs="Arial"/>
        </w:rPr>
        <w:t>As part of the N</w:t>
      </w:r>
      <w:r w:rsidR="005518D7">
        <w:rPr>
          <w:rFonts w:asciiTheme="minorHAnsi" w:hAnsiTheme="minorHAnsi" w:cs="Arial"/>
        </w:rPr>
        <w:t>TEM</w:t>
      </w:r>
      <w:r w:rsidRPr="00580494">
        <w:rPr>
          <w:rFonts w:asciiTheme="minorHAnsi" w:hAnsiTheme="minorHAnsi" w:cs="Arial"/>
        </w:rPr>
        <w:t xml:space="preserve"> Priority Reform Program, priority dispatch and settlement</w:t>
      </w:r>
      <w:r w:rsidR="008F39E9">
        <w:rPr>
          <w:rFonts w:asciiTheme="minorHAnsi" w:hAnsiTheme="minorHAnsi" w:cs="Arial"/>
        </w:rPr>
        <w:t xml:space="preserve"> changes</w:t>
      </w:r>
      <w:r w:rsidRPr="00580494">
        <w:rPr>
          <w:rFonts w:asciiTheme="minorHAnsi" w:hAnsiTheme="minorHAnsi" w:cs="Arial"/>
        </w:rPr>
        <w:t xml:space="preserve"> are being progressed. Pending their final design, there may be a need for some consequential amendments to dispatch and settlement arrangements to accommodate the proposed essential system services reforms.</w:t>
      </w:r>
    </w:p>
    <w:p w14:paraId="4F95502E" w14:textId="7497FD46" w:rsidR="00580494" w:rsidRPr="00580494" w:rsidRDefault="00580494" w:rsidP="00A7565D">
      <w:pPr>
        <w:pStyle w:val="Heading2"/>
        <w:numPr>
          <w:ilvl w:val="0"/>
          <w:numId w:val="0"/>
        </w:numPr>
        <w:rPr>
          <w:lang w:eastAsia="en-AU"/>
        </w:rPr>
      </w:pPr>
      <w:r w:rsidRPr="00580494">
        <w:rPr>
          <w:lang w:eastAsia="en-AU"/>
        </w:rPr>
        <w:t>Implementation</w:t>
      </w:r>
    </w:p>
    <w:p w14:paraId="3C2F2DB4" w14:textId="559089A7" w:rsidR="00FD575A" w:rsidRDefault="00FD575A" w:rsidP="00FD575A">
      <w:pPr>
        <w:rPr>
          <w:rFonts w:asciiTheme="minorHAnsi" w:hAnsiTheme="minorHAnsi" w:cs="Arial"/>
        </w:rPr>
      </w:pPr>
      <w:r>
        <w:rPr>
          <w:rFonts w:asciiTheme="minorHAnsi" w:hAnsiTheme="minorHAnsi" w:cs="Arial"/>
        </w:rPr>
        <w:t>Based on a range of factors including ease of reference for system participants</w:t>
      </w:r>
      <w:r w:rsidR="00E316B5">
        <w:rPr>
          <w:rFonts w:asciiTheme="minorHAnsi" w:hAnsiTheme="minorHAnsi" w:cs="Arial"/>
        </w:rPr>
        <w:t>,</w:t>
      </w:r>
      <w:r>
        <w:rPr>
          <w:rFonts w:asciiTheme="minorHAnsi" w:hAnsiTheme="minorHAnsi" w:cs="Arial"/>
        </w:rPr>
        <w:t xml:space="preserve"> implementation and maintenance of provisions, the proposed changes to the essential system services arrangements should be implemented through:</w:t>
      </w:r>
    </w:p>
    <w:p w14:paraId="78F9178C" w14:textId="0B9AC765" w:rsidR="00FD575A" w:rsidRDefault="00FD575A" w:rsidP="00E02062">
      <w:pPr>
        <w:pStyle w:val="ListParagraph"/>
        <w:numPr>
          <w:ilvl w:val="0"/>
          <w:numId w:val="23"/>
        </w:numPr>
        <w:rPr>
          <w:rFonts w:asciiTheme="minorHAnsi" w:hAnsiTheme="minorHAnsi" w:cs="Arial"/>
        </w:rPr>
      </w:pPr>
      <w:r>
        <w:rPr>
          <w:rFonts w:asciiTheme="minorHAnsi" w:hAnsiTheme="minorHAnsi" w:cs="Arial"/>
        </w:rPr>
        <w:t>the System Control Technical Code (SCTC) and Network Technical Code and Planning Criteria (NTC), for elements of the new essential system services framework which are bespoke to the NT</w:t>
      </w:r>
    </w:p>
    <w:p w14:paraId="46538587" w14:textId="392E9B1B" w:rsidR="00C03C2F" w:rsidRPr="003A1617" w:rsidRDefault="00FD575A" w:rsidP="00E02062">
      <w:pPr>
        <w:pStyle w:val="ListParagraph"/>
        <w:numPr>
          <w:ilvl w:val="0"/>
          <w:numId w:val="23"/>
        </w:numPr>
        <w:rPr>
          <w:rFonts w:asciiTheme="minorHAnsi" w:hAnsiTheme="minorHAnsi" w:cs="Arial"/>
        </w:rPr>
      </w:pPr>
      <w:proofErr w:type="gramStart"/>
      <w:r>
        <w:rPr>
          <w:rFonts w:asciiTheme="minorHAnsi" w:hAnsiTheme="minorHAnsi" w:cs="Arial"/>
        </w:rPr>
        <w:t>the</w:t>
      </w:r>
      <w:proofErr w:type="gramEnd"/>
      <w:r>
        <w:rPr>
          <w:rFonts w:asciiTheme="minorHAnsi" w:hAnsiTheme="minorHAnsi" w:cs="Arial"/>
        </w:rPr>
        <w:t xml:space="preserve"> Northern Territory National Electricity Rules, SCTC and NTC, </w:t>
      </w:r>
      <w:r w:rsidR="00A952BE">
        <w:rPr>
          <w:rFonts w:asciiTheme="minorHAnsi" w:hAnsiTheme="minorHAnsi" w:cs="Arial"/>
        </w:rPr>
        <w:t>for elements of the new essential system services framework for which there are equivalent frameworks in the National Electricity Market.</w:t>
      </w:r>
    </w:p>
    <w:p w14:paraId="6F4C36FA" w14:textId="09E7E277" w:rsidR="00702D61" w:rsidRDefault="00702D61" w:rsidP="00702D61">
      <w:r>
        <w:br w:type="page"/>
      </w:r>
    </w:p>
    <w:sdt>
      <w:sdtPr>
        <w:rPr>
          <w:rFonts w:ascii="Lato" w:eastAsia="Calibri" w:hAnsi="Lato" w:cs="Times New Roman"/>
          <w:bCs w:val="0"/>
          <w:color w:val="auto"/>
          <w:sz w:val="22"/>
          <w:szCs w:val="22"/>
        </w:rPr>
        <w:id w:val="-1006748653"/>
        <w:docPartObj>
          <w:docPartGallery w:val="Table of Contents"/>
          <w:docPartUnique/>
        </w:docPartObj>
      </w:sdtPr>
      <w:sdtEndPr>
        <w:rPr>
          <w:b/>
          <w:noProof/>
        </w:rPr>
      </w:sdtEndPr>
      <w:sdtContent>
        <w:p w14:paraId="724A4094" w14:textId="1511ABFB" w:rsidR="00835208" w:rsidRDefault="00835208">
          <w:pPr>
            <w:pStyle w:val="TOCHeading"/>
          </w:pPr>
          <w:r>
            <w:t>Contents</w:t>
          </w:r>
        </w:p>
        <w:p w14:paraId="45B0C62F" w14:textId="7E9B347A" w:rsidR="00A1758C" w:rsidRDefault="00835208">
          <w:pPr>
            <w:pStyle w:val="TOC1"/>
            <w:rPr>
              <w:rFonts w:asciiTheme="minorHAnsi" w:eastAsiaTheme="minorEastAsia" w:hAnsiTheme="minorHAnsi" w:cstheme="minorBidi"/>
              <w:b w:val="0"/>
              <w:noProof/>
              <w:lang w:eastAsia="en-AU"/>
            </w:rPr>
          </w:pPr>
          <w:r>
            <w:fldChar w:fldCharType="begin"/>
          </w:r>
          <w:r>
            <w:instrText xml:space="preserve"> TOC \o "1-2" \h \z \u </w:instrText>
          </w:r>
          <w:r>
            <w:fldChar w:fldCharType="separate"/>
          </w:r>
          <w:hyperlink w:anchor="_Toc61956182" w:history="1">
            <w:r w:rsidR="00A1758C" w:rsidRPr="009F558C">
              <w:rPr>
                <w:rStyle w:val="Hyperlink"/>
                <w:noProof/>
                <w:lang w:eastAsia="en-AU"/>
              </w:rPr>
              <w:t>1. Introduction</w:t>
            </w:r>
            <w:r w:rsidR="00A1758C">
              <w:rPr>
                <w:noProof/>
                <w:webHidden/>
              </w:rPr>
              <w:tab/>
            </w:r>
            <w:r w:rsidR="00A1758C">
              <w:rPr>
                <w:noProof/>
                <w:webHidden/>
              </w:rPr>
              <w:fldChar w:fldCharType="begin"/>
            </w:r>
            <w:r w:rsidR="00A1758C">
              <w:rPr>
                <w:noProof/>
                <w:webHidden/>
              </w:rPr>
              <w:instrText xml:space="preserve"> PAGEREF _Toc61956182 \h </w:instrText>
            </w:r>
            <w:r w:rsidR="00A1758C">
              <w:rPr>
                <w:noProof/>
                <w:webHidden/>
              </w:rPr>
            </w:r>
            <w:r w:rsidR="00A1758C">
              <w:rPr>
                <w:noProof/>
                <w:webHidden/>
              </w:rPr>
              <w:fldChar w:fldCharType="separate"/>
            </w:r>
            <w:r w:rsidR="00A1758C">
              <w:rPr>
                <w:noProof/>
                <w:webHidden/>
              </w:rPr>
              <w:t>10</w:t>
            </w:r>
            <w:r w:rsidR="00A1758C">
              <w:rPr>
                <w:noProof/>
                <w:webHidden/>
              </w:rPr>
              <w:fldChar w:fldCharType="end"/>
            </w:r>
          </w:hyperlink>
        </w:p>
        <w:p w14:paraId="29AFE0DA" w14:textId="45670EFE" w:rsidR="00A1758C" w:rsidRDefault="00FB2629">
          <w:pPr>
            <w:pStyle w:val="TOC2"/>
            <w:rPr>
              <w:rFonts w:asciiTheme="minorHAnsi" w:eastAsiaTheme="minorEastAsia" w:hAnsiTheme="minorHAnsi" w:cstheme="minorBidi"/>
              <w:noProof/>
              <w:lang w:eastAsia="en-AU"/>
            </w:rPr>
          </w:pPr>
          <w:hyperlink w:anchor="_Toc61956183" w:history="1">
            <w:r w:rsidR="00A1758C" w:rsidRPr="009F558C">
              <w:rPr>
                <w:rStyle w:val="Hyperlink"/>
                <w:noProof/>
                <w:lang w:eastAsia="en-AU"/>
              </w:rPr>
              <w:t>1.1. Overview of current arrangements</w:t>
            </w:r>
            <w:r w:rsidR="00A1758C">
              <w:rPr>
                <w:noProof/>
                <w:webHidden/>
              </w:rPr>
              <w:tab/>
            </w:r>
            <w:r w:rsidR="00A1758C">
              <w:rPr>
                <w:noProof/>
                <w:webHidden/>
              </w:rPr>
              <w:fldChar w:fldCharType="begin"/>
            </w:r>
            <w:r w:rsidR="00A1758C">
              <w:rPr>
                <w:noProof/>
                <w:webHidden/>
              </w:rPr>
              <w:instrText xml:space="preserve"> PAGEREF _Toc61956183 \h </w:instrText>
            </w:r>
            <w:r w:rsidR="00A1758C">
              <w:rPr>
                <w:noProof/>
                <w:webHidden/>
              </w:rPr>
            </w:r>
            <w:r w:rsidR="00A1758C">
              <w:rPr>
                <w:noProof/>
                <w:webHidden/>
              </w:rPr>
              <w:fldChar w:fldCharType="separate"/>
            </w:r>
            <w:r w:rsidR="00A1758C">
              <w:rPr>
                <w:noProof/>
                <w:webHidden/>
              </w:rPr>
              <w:t>10</w:t>
            </w:r>
            <w:r w:rsidR="00A1758C">
              <w:rPr>
                <w:noProof/>
                <w:webHidden/>
              </w:rPr>
              <w:fldChar w:fldCharType="end"/>
            </w:r>
          </w:hyperlink>
        </w:p>
        <w:p w14:paraId="5B51D4A0" w14:textId="0B51D14E" w:rsidR="00A1758C" w:rsidRDefault="00FB2629">
          <w:pPr>
            <w:pStyle w:val="TOC2"/>
            <w:rPr>
              <w:rFonts w:asciiTheme="minorHAnsi" w:eastAsiaTheme="minorEastAsia" w:hAnsiTheme="minorHAnsi" w:cstheme="minorBidi"/>
              <w:noProof/>
              <w:lang w:eastAsia="en-AU"/>
            </w:rPr>
          </w:pPr>
          <w:hyperlink w:anchor="_Toc61956184" w:history="1">
            <w:r w:rsidR="00A1758C" w:rsidRPr="009F558C">
              <w:rPr>
                <w:rStyle w:val="Hyperlink"/>
                <w:noProof/>
                <w:lang w:eastAsia="en-AU"/>
              </w:rPr>
              <w:t>1.2. Review scope</w:t>
            </w:r>
            <w:r w:rsidR="00A1758C">
              <w:rPr>
                <w:noProof/>
                <w:webHidden/>
              </w:rPr>
              <w:tab/>
            </w:r>
            <w:r w:rsidR="00A1758C">
              <w:rPr>
                <w:noProof/>
                <w:webHidden/>
              </w:rPr>
              <w:fldChar w:fldCharType="begin"/>
            </w:r>
            <w:r w:rsidR="00A1758C">
              <w:rPr>
                <w:noProof/>
                <w:webHidden/>
              </w:rPr>
              <w:instrText xml:space="preserve"> PAGEREF _Toc61956184 \h </w:instrText>
            </w:r>
            <w:r w:rsidR="00A1758C">
              <w:rPr>
                <w:noProof/>
                <w:webHidden/>
              </w:rPr>
            </w:r>
            <w:r w:rsidR="00A1758C">
              <w:rPr>
                <w:noProof/>
                <w:webHidden/>
              </w:rPr>
              <w:fldChar w:fldCharType="separate"/>
            </w:r>
            <w:r w:rsidR="00A1758C">
              <w:rPr>
                <w:noProof/>
                <w:webHidden/>
              </w:rPr>
              <w:t>11</w:t>
            </w:r>
            <w:r w:rsidR="00A1758C">
              <w:rPr>
                <w:noProof/>
                <w:webHidden/>
              </w:rPr>
              <w:fldChar w:fldCharType="end"/>
            </w:r>
          </w:hyperlink>
        </w:p>
        <w:p w14:paraId="6D56D843" w14:textId="26751969" w:rsidR="00A1758C" w:rsidRDefault="00FB2629">
          <w:pPr>
            <w:pStyle w:val="TOC2"/>
            <w:rPr>
              <w:rFonts w:asciiTheme="minorHAnsi" w:eastAsiaTheme="minorEastAsia" w:hAnsiTheme="minorHAnsi" w:cstheme="minorBidi"/>
              <w:noProof/>
              <w:lang w:eastAsia="en-AU"/>
            </w:rPr>
          </w:pPr>
          <w:hyperlink w:anchor="_Toc61956185" w:history="1">
            <w:r w:rsidR="00A1758C" w:rsidRPr="009F558C">
              <w:rPr>
                <w:rStyle w:val="Hyperlink"/>
                <w:noProof/>
                <w:lang w:eastAsia="en-AU"/>
              </w:rPr>
              <w:t>1.3. Context and approach</w:t>
            </w:r>
            <w:r w:rsidR="00A1758C">
              <w:rPr>
                <w:noProof/>
                <w:webHidden/>
              </w:rPr>
              <w:tab/>
            </w:r>
            <w:r w:rsidR="00A1758C">
              <w:rPr>
                <w:noProof/>
                <w:webHidden/>
              </w:rPr>
              <w:fldChar w:fldCharType="begin"/>
            </w:r>
            <w:r w:rsidR="00A1758C">
              <w:rPr>
                <w:noProof/>
                <w:webHidden/>
              </w:rPr>
              <w:instrText xml:space="preserve"> PAGEREF _Toc61956185 \h </w:instrText>
            </w:r>
            <w:r w:rsidR="00A1758C">
              <w:rPr>
                <w:noProof/>
                <w:webHidden/>
              </w:rPr>
            </w:r>
            <w:r w:rsidR="00A1758C">
              <w:rPr>
                <w:noProof/>
                <w:webHidden/>
              </w:rPr>
              <w:fldChar w:fldCharType="separate"/>
            </w:r>
            <w:r w:rsidR="00A1758C">
              <w:rPr>
                <w:noProof/>
                <w:webHidden/>
              </w:rPr>
              <w:t>12</w:t>
            </w:r>
            <w:r w:rsidR="00A1758C">
              <w:rPr>
                <w:noProof/>
                <w:webHidden/>
              </w:rPr>
              <w:fldChar w:fldCharType="end"/>
            </w:r>
          </w:hyperlink>
        </w:p>
        <w:p w14:paraId="37B36FE3" w14:textId="368F37FA" w:rsidR="00A1758C" w:rsidRDefault="00FB2629">
          <w:pPr>
            <w:pStyle w:val="TOC2"/>
            <w:rPr>
              <w:rFonts w:asciiTheme="minorHAnsi" w:eastAsiaTheme="minorEastAsia" w:hAnsiTheme="minorHAnsi" w:cstheme="minorBidi"/>
              <w:noProof/>
              <w:lang w:eastAsia="en-AU"/>
            </w:rPr>
          </w:pPr>
          <w:hyperlink w:anchor="_Toc61956186" w:history="1">
            <w:r w:rsidR="00A1758C" w:rsidRPr="009F558C">
              <w:rPr>
                <w:rStyle w:val="Hyperlink"/>
                <w:noProof/>
                <w:lang w:eastAsia="en-AU"/>
              </w:rPr>
              <w:t>1.4. Review framework</w:t>
            </w:r>
            <w:r w:rsidR="00A1758C">
              <w:rPr>
                <w:noProof/>
                <w:webHidden/>
              </w:rPr>
              <w:tab/>
            </w:r>
            <w:r w:rsidR="00A1758C">
              <w:rPr>
                <w:noProof/>
                <w:webHidden/>
              </w:rPr>
              <w:fldChar w:fldCharType="begin"/>
            </w:r>
            <w:r w:rsidR="00A1758C">
              <w:rPr>
                <w:noProof/>
                <w:webHidden/>
              </w:rPr>
              <w:instrText xml:space="preserve"> PAGEREF _Toc61956186 \h </w:instrText>
            </w:r>
            <w:r w:rsidR="00A1758C">
              <w:rPr>
                <w:noProof/>
                <w:webHidden/>
              </w:rPr>
            </w:r>
            <w:r w:rsidR="00A1758C">
              <w:rPr>
                <w:noProof/>
                <w:webHidden/>
              </w:rPr>
              <w:fldChar w:fldCharType="separate"/>
            </w:r>
            <w:r w:rsidR="00A1758C">
              <w:rPr>
                <w:noProof/>
                <w:webHidden/>
              </w:rPr>
              <w:t>13</w:t>
            </w:r>
            <w:r w:rsidR="00A1758C">
              <w:rPr>
                <w:noProof/>
                <w:webHidden/>
              </w:rPr>
              <w:fldChar w:fldCharType="end"/>
            </w:r>
          </w:hyperlink>
        </w:p>
        <w:p w14:paraId="79D82084" w14:textId="7FD57B20" w:rsidR="00A1758C" w:rsidRDefault="00FB2629">
          <w:pPr>
            <w:pStyle w:val="TOC2"/>
            <w:rPr>
              <w:rFonts w:asciiTheme="minorHAnsi" w:eastAsiaTheme="minorEastAsia" w:hAnsiTheme="minorHAnsi" w:cstheme="minorBidi"/>
              <w:noProof/>
              <w:lang w:eastAsia="en-AU"/>
            </w:rPr>
          </w:pPr>
          <w:hyperlink w:anchor="_Toc61956187" w:history="1">
            <w:r w:rsidR="00A1758C" w:rsidRPr="009F558C">
              <w:rPr>
                <w:rStyle w:val="Hyperlink"/>
                <w:noProof/>
                <w:lang w:eastAsia="en-AU"/>
              </w:rPr>
              <w:t>1.5. Stakeholder consultation and review timeframes</w:t>
            </w:r>
            <w:r w:rsidR="00A1758C">
              <w:rPr>
                <w:noProof/>
                <w:webHidden/>
              </w:rPr>
              <w:tab/>
            </w:r>
            <w:r w:rsidR="00A1758C">
              <w:rPr>
                <w:noProof/>
                <w:webHidden/>
              </w:rPr>
              <w:fldChar w:fldCharType="begin"/>
            </w:r>
            <w:r w:rsidR="00A1758C">
              <w:rPr>
                <w:noProof/>
                <w:webHidden/>
              </w:rPr>
              <w:instrText xml:space="preserve"> PAGEREF _Toc61956187 \h </w:instrText>
            </w:r>
            <w:r w:rsidR="00A1758C">
              <w:rPr>
                <w:noProof/>
                <w:webHidden/>
              </w:rPr>
            </w:r>
            <w:r w:rsidR="00A1758C">
              <w:rPr>
                <w:noProof/>
                <w:webHidden/>
              </w:rPr>
              <w:fldChar w:fldCharType="separate"/>
            </w:r>
            <w:r w:rsidR="00A1758C">
              <w:rPr>
                <w:noProof/>
                <w:webHidden/>
              </w:rPr>
              <w:t>14</w:t>
            </w:r>
            <w:r w:rsidR="00A1758C">
              <w:rPr>
                <w:noProof/>
                <w:webHidden/>
              </w:rPr>
              <w:fldChar w:fldCharType="end"/>
            </w:r>
          </w:hyperlink>
        </w:p>
        <w:p w14:paraId="73646BF9" w14:textId="30F75166" w:rsidR="00A1758C" w:rsidRDefault="00FB2629">
          <w:pPr>
            <w:pStyle w:val="TOC1"/>
            <w:rPr>
              <w:rFonts w:asciiTheme="minorHAnsi" w:eastAsiaTheme="minorEastAsia" w:hAnsiTheme="minorHAnsi" w:cstheme="minorBidi"/>
              <w:b w:val="0"/>
              <w:noProof/>
              <w:lang w:eastAsia="en-AU"/>
            </w:rPr>
          </w:pPr>
          <w:hyperlink w:anchor="_Toc61956188" w:history="1">
            <w:r w:rsidR="00A1758C" w:rsidRPr="009F558C">
              <w:rPr>
                <w:rStyle w:val="Hyperlink"/>
                <w:noProof/>
                <w:lang w:eastAsia="en-AU"/>
              </w:rPr>
              <w:t>2. Service definitions</w:t>
            </w:r>
            <w:r w:rsidR="00A1758C">
              <w:rPr>
                <w:noProof/>
                <w:webHidden/>
              </w:rPr>
              <w:tab/>
            </w:r>
            <w:r w:rsidR="00A1758C">
              <w:rPr>
                <w:noProof/>
                <w:webHidden/>
              </w:rPr>
              <w:fldChar w:fldCharType="begin"/>
            </w:r>
            <w:r w:rsidR="00A1758C">
              <w:rPr>
                <w:noProof/>
                <w:webHidden/>
              </w:rPr>
              <w:instrText xml:space="preserve"> PAGEREF _Toc61956188 \h </w:instrText>
            </w:r>
            <w:r w:rsidR="00A1758C">
              <w:rPr>
                <w:noProof/>
                <w:webHidden/>
              </w:rPr>
            </w:r>
            <w:r w:rsidR="00A1758C">
              <w:rPr>
                <w:noProof/>
                <w:webHidden/>
              </w:rPr>
              <w:fldChar w:fldCharType="separate"/>
            </w:r>
            <w:r w:rsidR="00A1758C">
              <w:rPr>
                <w:noProof/>
                <w:webHidden/>
              </w:rPr>
              <w:t>15</w:t>
            </w:r>
            <w:r w:rsidR="00A1758C">
              <w:rPr>
                <w:noProof/>
                <w:webHidden/>
              </w:rPr>
              <w:fldChar w:fldCharType="end"/>
            </w:r>
          </w:hyperlink>
        </w:p>
        <w:p w14:paraId="6E8F31C1" w14:textId="0DEE07D4" w:rsidR="00A1758C" w:rsidRDefault="00FB2629">
          <w:pPr>
            <w:pStyle w:val="TOC2"/>
            <w:rPr>
              <w:rFonts w:asciiTheme="minorHAnsi" w:eastAsiaTheme="minorEastAsia" w:hAnsiTheme="minorHAnsi" w:cstheme="minorBidi"/>
              <w:noProof/>
              <w:lang w:eastAsia="en-AU"/>
            </w:rPr>
          </w:pPr>
          <w:hyperlink w:anchor="_Toc61956189" w:history="1">
            <w:r w:rsidR="00A1758C" w:rsidRPr="009F558C">
              <w:rPr>
                <w:rStyle w:val="Hyperlink"/>
                <w:noProof/>
                <w:lang w:eastAsia="en-AU"/>
              </w:rPr>
              <w:t>2.1. Background</w:t>
            </w:r>
            <w:r w:rsidR="00A1758C">
              <w:rPr>
                <w:noProof/>
                <w:webHidden/>
              </w:rPr>
              <w:tab/>
            </w:r>
            <w:r w:rsidR="00A1758C">
              <w:rPr>
                <w:noProof/>
                <w:webHidden/>
              </w:rPr>
              <w:fldChar w:fldCharType="begin"/>
            </w:r>
            <w:r w:rsidR="00A1758C">
              <w:rPr>
                <w:noProof/>
                <w:webHidden/>
              </w:rPr>
              <w:instrText xml:space="preserve"> PAGEREF _Toc61956189 \h </w:instrText>
            </w:r>
            <w:r w:rsidR="00A1758C">
              <w:rPr>
                <w:noProof/>
                <w:webHidden/>
              </w:rPr>
            </w:r>
            <w:r w:rsidR="00A1758C">
              <w:rPr>
                <w:noProof/>
                <w:webHidden/>
              </w:rPr>
              <w:fldChar w:fldCharType="separate"/>
            </w:r>
            <w:r w:rsidR="00A1758C">
              <w:rPr>
                <w:noProof/>
                <w:webHidden/>
              </w:rPr>
              <w:t>15</w:t>
            </w:r>
            <w:r w:rsidR="00A1758C">
              <w:rPr>
                <w:noProof/>
                <w:webHidden/>
              </w:rPr>
              <w:fldChar w:fldCharType="end"/>
            </w:r>
          </w:hyperlink>
        </w:p>
        <w:p w14:paraId="0674B486" w14:textId="57ACF00C" w:rsidR="00A1758C" w:rsidRDefault="00FB2629">
          <w:pPr>
            <w:pStyle w:val="TOC2"/>
            <w:rPr>
              <w:rFonts w:asciiTheme="minorHAnsi" w:eastAsiaTheme="minorEastAsia" w:hAnsiTheme="minorHAnsi" w:cstheme="minorBidi"/>
              <w:noProof/>
              <w:lang w:eastAsia="en-AU"/>
            </w:rPr>
          </w:pPr>
          <w:hyperlink w:anchor="_Toc61956190" w:history="1">
            <w:r w:rsidR="00A1758C" w:rsidRPr="009F558C">
              <w:rPr>
                <w:rStyle w:val="Hyperlink"/>
                <w:noProof/>
                <w:lang w:eastAsia="en-AU"/>
              </w:rPr>
              <w:t>2.2. Submissions</w:t>
            </w:r>
            <w:r w:rsidR="00A1758C">
              <w:rPr>
                <w:noProof/>
                <w:webHidden/>
              </w:rPr>
              <w:tab/>
            </w:r>
            <w:r w:rsidR="00A1758C">
              <w:rPr>
                <w:noProof/>
                <w:webHidden/>
              </w:rPr>
              <w:fldChar w:fldCharType="begin"/>
            </w:r>
            <w:r w:rsidR="00A1758C">
              <w:rPr>
                <w:noProof/>
                <w:webHidden/>
              </w:rPr>
              <w:instrText xml:space="preserve"> PAGEREF _Toc61956190 \h </w:instrText>
            </w:r>
            <w:r w:rsidR="00A1758C">
              <w:rPr>
                <w:noProof/>
                <w:webHidden/>
              </w:rPr>
            </w:r>
            <w:r w:rsidR="00A1758C">
              <w:rPr>
                <w:noProof/>
                <w:webHidden/>
              </w:rPr>
              <w:fldChar w:fldCharType="separate"/>
            </w:r>
            <w:r w:rsidR="00A1758C">
              <w:rPr>
                <w:noProof/>
                <w:webHidden/>
              </w:rPr>
              <w:t>20</w:t>
            </w:r>
            <w:r w:rsidR="00A1758C">
              <w:rPr>
                <w:noProof/>
                <w:webHidden/>
              </w:rPr>
              <w:fldChar w:fldCharType="end"/>
            </w:r>
          </w:hyperlink>
        </w:p>
        <w:p w14:paraId="463E3273" w14:textId="44FE2EB5" w:rsidR="00A1758C" w:rsidRDefault="00FB2629">
          <w:pPr>
            <w:pStyle w:val="TOC2"/>
            <w:rPr>
              <w:rFonts w:asciiTheme="minorHAnsi" w:eastAsiaTheme="minorEastAsia" w:hAnsiTheme="minorHAnsi" w:cstheme="minorBidi"/>
              <w:noProof/>
              <w:lang w:eastAsia="en-AU"/>
            </w:rPr>
          </w:pPr>
          <w:hyperlink w:anchor="_Toc61956191" w:history="1">
            <w:r w:rsidR="00A1758C" w:rsidRPr="009F558C">
              <w:rPr>
                <w:rStyle w:val="Hyperlink"/>
                <w:noProof/>
                <w:lang w:eastAsia="en-AU"/>
              </w:rPr>
              <w:t>2.3. Analysis</w:t>
            </w:r>
            <w:r w:rsidR="00A1758C">
              <w:rPr>
                <w:noProof/>
                <w:webHidden/>
              </w:rPr>
              <w:tab/>
            </w:r>
            <w:r w:rsidR="00A1758C">
              <w:rPr>
                <w:noProof/>
                <w:webHidden/>
              </w:rPr>
              <w:fldChar w:fldCharType="begin"/>
            </w:r>
            <w:r w:rsidR="00A1758C">
              <w:rPr>
                <w:noProof/>
                <w:webHidden/>
              </w:rPr>
              <w:instrText xml:space="preserve"> PAGEREF _Toc61956191 \h </w:instrText>
            </w:r>
            <w:r w:rsidR="00A1758C">
              <w:rPr>
                <w:noProof/>
                <w:webHidden/>
              </w:rPr>
            </w:r>
            <w:r w:rsidR="00A1758C">
              <w:rPr>
                <w:noProof/>
                <w:webHidden/>
              </w:rPr>
              <w:fldChar w:fldCharType="separate"/>
            </w:r>
            <w:r w:rsidR="00A1758C">
              <w:rPr>
                <w:noProof/>
                <w:webHidden/>
              </w:rPr>
              <w:t>22</w:t>
            </w:r>
            <w:r w:rsidR="00A1758C">
              <w:rPr>
                <w:noProof/>
                <w:webHidden/>
              </w:rPr>
              <w:fldChar w:fldCharType="end"/>
            </w:r>
          </w:hyperlink>
        </w:p>
        <w:p w14:paraId="5B224157" w14:textId="611BB9DB" w:rsidR="00A1758C" w:rsidRDefault="00FB2629">
          <w:pPr>
            <w:pStyle w:val="TOC2"/>
            <w:rPr>
              <w:rFonts w:asciiTheme="minorHAnsi" w:eastAsiaTheme="minorEastAsia" w:hAnsiTheme="minorHAnsi" w:cstheme="minorBidi"/>
              <w:noProof/>
              <w:lang w:eastAsia="en-AU"/>
            </w:rPr>
          </w:pPr>
          <w:hyperlink w:anchor="_Toc61956192" w:history="1">
            <w:r w:rsidR="00A1758C" w:rsidRPr="009F558C">
              <w:rPr>
                <w:rStyle w:val="Hyperlink"/>
                <w:noProof/>
                <w:lang w:eastAsia="en-AU"/>
              </w:rPr>
              <w:t>2.4. Draft position</w:t>
            </w:r>
            <w:r w:rsidR="00A1758C">
              <w:rPr>
                <w:noProof/>
                <w:webHidden/>
              </w:rPr>
              <w:tab/>
            </w:r>
            <w:r w:rsidR="00A1758C">
              <w:rPr>
                <w:noProof/>
                <w:webHidden/>
              </w:rPr>
              <w:fldChar w:fldCharType="begin"/>
            </w:r>
            <w:r w:rsidR="00A1758C">
              <w:rPr>
                <w:noProof/>
                <w:webHidden/>
              </w:rPr>
              <w:instrText xml:space="preserve"> PAGEREF _Toc61956192 \h </w:instrText>
            </w:r>
            <w:r w:rsidR="00A1758C">
              <w:rPr>
                <w:noProof/>
                <w:webHidden/>
              </w:rPr>
            </w:r>
            <w:r w:rsidR="00A1758C">
              <w:rPr>
                <w:noProof/>
                <w:webHidden/>
              </w:rPr>
              <w:fldChar w:fldCharType="separate"/>
            </w:r>
            <w:r w:rsidR="00A1758C">
              <w:rPr>
                <w:noProof/>
                <w:webHidden/>
              </w:rPr>
              <w:t>28</w:t>
            </w:r>
            <w:r w:rsidR="00A1758C">
              <w:rPr>
                <w:noProof/>
                <w:webHidden/>
              </w:rPr>
              <w:fldChar w:fldCharType="end"/>
            </w:r>
          </w:hyperlink>
        </w:p>
        <w:p w14:paraId="4C317F18" w14:textId="386FE0FC" w:rsidR="00A1758C" w:rsidRDefault="00FB2629">
          <w:pPr>
            <w:pStyle w:val="TOC1"/>
            <w:rPr>
              <w:rFonts w:asciiTheme="minorHAnsi" w:eastAsiaTheme="minorEastAsia" w:hAnsiTheme="minorHAnsi" w:cstheme="minorBidi"/>
              <w:b w:val="0"/>
              <w:noProof/>
              <w:lang w:eastAsia="en-AU"/>
            </w:rPr>
          </w:pPr>
          <w:hyperlink w:anchor="_Toc61956193" w:history="1">
            <w:r w:rsidR="00A1758C" w:rsidRPr="009F558C">
              <w:rPr>
                <w:rStyle w:val="Hyperlink"/>
                <w:noProof/>
                <w:lang w:eastAsia="en-AU"/>
              </w:rPr>
              <w:t>3. Service requirements</w:t>
            </w:r>
            <w:r w:rsidR="00A1758C">
              <w:rPr>
                <w:noProof/>
                <w:webHidden/>
              </w:rPr>
              <w:tab/>
            </w:r>
            <w:r w:rsidR="00A1758C">
              <w:rPr>
                <w:noProof/>
                <w:webHidden/>
              </w:rPr>
              <w:fldChar w:fldCharType="begin"/>
            </w:r>
            <w:r w:rsidR="00A1758C">
              <w:rPr>
                <w:noProof/>
                <w:webHidden/>
              </w:rPr>
              <w:instrText xml:space="preserve"> PAGEREF _Toc61956193 \h </w:instrText>
            </w:r>
            <w:r w:rsidR="00A1758C">
              <w:rPr>
                <w:noProof/>
                <w:webHidden/>
              </w:rPr>
            </w:r>
            <w:r w:rsidR="00A1758C">
              <w:rPr>
                <w:noProof/>
                <w:webHidden/>
              </w:rPr>
              <w:fldChar w:fldCharType="separate"/>
            </w:r>
            <w:r w:rsidR="00A1758C">
              <w:rPr>
                <w:noProof/>
                <w:webHidden/>
              </w:rPr>
              <w:t>30</w:t>
            </w:r>
            <w:r w:rsidR="00A1758C">
              <w:rPr>
                <w:noProof/>
                <w:webHidden/>
              </w:rPr>
              <w:fldChar w:fldCharType="end"/>
            </w:r>
          </w:hyperlink>
        </w:p>
        <w:p w14:paraId="21E5A96A" w14:textId="122F4F0C" w:rsidR="00A1758C" w:rsidRDefault="00FB2629">
          <w:pPr>
            <w:pStyle w:val="TOC2"/>
            <w:rPr>
              <w:rFonts w:asciiTheme="minorHAnsi" w:eastAsiaTheme="minorEastAsia" w:hAnsiTheme="minorHAnsi" w:cstheme="minorBidi"/>
              <w:noProof/>
              <w:lang w:eastAsia="en-AU"/>
            </w:rPr>
          </w:pPr>
          <w:hyperlink w:anchor="_Toc61956194" w:history="1">
            <w:r w:rsidR="00A1758C" w:rsidRPr="009F558C">
              <w:rPr>
                <w:rStyle w:val="Hyperlink"/>
                <w:noProof/>
                <w:lang w:eastAsia="en-AU"/>
              </w:rPr>
              <w:t>3.1. Background</w:t>
            </w:r>
            <w:r w:rsidR="00A1758C">
              <w:rPr>
                <w:noProof/>
                <w:webHidden/>
              </w:rPr>
              <w:tab/>
            </w:r>
            <w:r w:rsidR="00A1758C">
              <w:rPr>
                <w:noProof/>
                <w:webHidden/>
              </w:rPr>
              <w:fldChar w:fldCharType="begin"/>
            </w:r>
            <w:r w:rsidR="00A1758C">
              <w:rPr>
                <w:noProof/>
                <w:webHidden/>
              </w:rPr>
              <w:instrText xml:space="preserve"> PAGEREF _Toc61956194 \h </w:instrText>
            </w:r>
            <w:r w:rsidR="00A1758C">
              <w:rPr>
                <w:noProof/>
                <w:webHidden/>
              </w:rPr>
            </w:r>
            <w:r w:rsidR="00A1758C">
              <w:rPr>
                <w:noProof/>
                <w:webHidden/>
              </w:rPr>
              <w:fldChar w:fldCharType="separate"/>
            </w:r>
            <w:r w:rsidR="00A1758C">
              <w:rPr>
                <w:noProof/>
                <w:webHidden/>
              </w:rPr>
              <w:t>30</w:t>
            </w:r>
            <w:r w:rsidR="00A1758C">
              <w:rPr>
                <w:noProof/>
                <w:webHidden/>
              </w:rPr>
              <w:fldChar w:fldCharType="end"/>
            </w:r>
          </w:hyperlink>
        </w:p>
        <w:p w14:paraId="02A11E5B" w14:textId="5ADE0254" w:rsidR="00A1758C" w:rsidRDefault="00FB2629">
          <w:pPr>
            <w:pStyle w:val="TOC2"/>
            <w:rPr>
              <w:rFonts w:asciiTheme="minorHAnsi" w:eastAsiaTheme="minorEastAsia" w:hAnsiTheme="minorHAnsi" w:cstheme="minorBidi"/>
              <w:noProof/>
              <w:lang w:eastAsia="en-AU"/>
            </w:rPr>
          </w:pPr>
          <w:hyperlink w:anchor="_Toc61956195" w:history="1">
            <w:r w:rsidR="00A1758C" w:rsidRPr="009F558C">
              <w:rPr>
                <w:rStyle w:val="Hyperlink"/>
                <w:noProof/>
                <w:lang w:eastAsia="en-AU"/>
              </w:rPr>
              <w:t>3.2. Submissions</w:t>
            </w:r>
            <w:r w:rsidR="00A1758C">
              <w:rPr>
                <w:noProof/>
                <w:webHidden/>
              </w:rPr>
              <w:tab/>
            </w:r>
            <w:r w:rsidR="00A1758C">
              <w:rPr>
                <w:noProof/>
                <w:webHidden/>
              </w:rPr>
              <w:fldChar w:fldCharType="begin"/>
            </w:r>
            <w:r w:rsidR="00A1758C">
              <w:rPr>
                <w:noProof/>
                <w:webHidden/>
              </w:rPr>
              <w:instrText xml:space="preserve"> PAGEREF _Toc61956195 \h </w:instrText>
            </w:r>
            <w:r w:rsidR="00A1758C">
              <w:rPr>
                <w:noProof/>
                <w:webHidden/>
              </w:rPr>
            </w:r>
            <w:r w:rsidR="00A1758C">
              <w:rPr>
                <w:noProof/>
                <w:webHidden/>
              </w:rPr>
              <w:fldChar w:fldCharType="separate"/>
            </w:r>
            <w:r w:rsidR="00A1758C">
              <w:rPr>
                <w:noProof/>
                <w:webHidden/>
              </w:rPr>
              <w:t>31</w:t>
            </w:r>
            <w:r w:rsidR="00A1758C">
              <w:rPr>
                <w:noProof/>
                <w:webHidden/>
              </w:rPr>
              <w:fldChar w:fldCharType="end"/>
            </w:r>
          </w:hyperlink>
        </w:p>
        <w:p w14:paraId="7A162A2C" w14:textId="1EB23085" w:rsidR="00A1758C" w:rsidRDefault="00FB2629">
          <w:pPr>
            <w:pStyle w:val="TOC2"/>
            <w:rPr>
              <w:rFonts w:asciiTheme="minorHAnsi" w:eastAsiaTheme="minorEastAsia" w:hAnsiTheme="minorHAnsi" w:cstheme="minorBidi"/>
              <w:noProof/>
              <w:lang w:eastAsia="en-AU"/>
            </w:rPr>
          </w:pPr>
          <w:hyperlink w:anchor="_Toc61956196" w:history="1">
            <w:r w:rsidR="00A1758C" w:rsidRPr="009F558C">
              <w:rPr>
                <w:rStyle w:val="Hyperlink"/>
                <w:noProof/>
                <w:lang w:eastAsia="en-AU"/>
              </w:rPr>
              <w:t>3.3. Analysis</w:t>
            </w:r>
            <w:r w:rsidR="00A1758C">
              <w:rPr>
                <w:noProof/>
                <w:webHidden/>
              </w:rPr>
              <w:tab/>
            </w:r>
            <w:r w:rsidR="00A1758C">
              <w:rPr>
                <w:noProof/>
                <w:webHidden/>
              </w:rPr>
              <w:fldChar w:fldCharType="begin"/>
            </w:r>
            <w:r w:rsidR="00A1758C">
              <w:rPr>
                <w:noProof/>
                <w:webHidden/>
              </w:rPr>
              <w:instrText xml:space="preserve"> PAGEREF _Toc61956196 \h </w:instrText>
            </w:r>
            <w:r w:rsidR="00A1758C">
              <w:rPr>
                <w:noProof/>
                <w:webHidden/>
              </w:rPr>
            </w:r>
            <w:r w:rsidR="00A1758C">
              <w:rPr>
                <w:noProof/>
                <w:webHidden/>
              </w:rPr>
              <w:fldChar w:fldCharType="separate"/>
            </w:r>
            <w:r w:rsidR="00A1758C">
              <w:rPr>
                <w:noProof/>
                <w:webHidden/>
              </w:rPr>
              <w:t>32</w:t>
            </w:r>
            <w:r w:rsidR="00A1758C">
              <w:rPr>
                <w:noProof/>
                <w:webHidden/>
              </w:rPr>
              <w:fldChar w:fldCharType="end"/>
            </w:r>
          </w:hyperlink>
        </w:p>
        <w:p w14:paraId="3F5CE521" w14:textId="250E3567" w:rsidR="00A1758C" w:rsidRDefault="00FB2629">
          <w:pPr>
            <w:pStyle w:val="TOC2"/>
            <w:rPr>
              <w:rFonts w:asciiTheme="minorHAnsi" w:eastAsiaTheme="minorEastAsia" w:hAnsiTheme="minorHAnsi" w:cstheme="minorBidi"/>
              <w:noProof/>
              <w:lang w:eastAsia="en-AU"/>
            </w:rPr>
          </w:pPr>
          <w:hyperlink w:anchor="_Toc61956197" w:history="1">
            <w:r w:rsidR="00A1758C" w:rsidRPr="009F558C">
              <w:rPr>
                <w:rStyle w:val="Hyperlink"/>
                <w:noProof/>
                <w:lang w:eastAsia="en-AU"/>
              </w:rPr>
              <w:t>3.4. Draft position</w:t>
            </w:r>
            <w:r w:rsidR="00A1758C">
              <w:rPr>
                <w:noProof/>
                <w:webHidden/>
              </w:rPr>
              <w:tab/>
            </w:r>
            <w:r w:rsidR="00A1758C">
              <w:rPr>
                <w:noProof/>
                <w:webHidden/>
              </w:rPr>
              <w:fldChar w:fldCharType="begin"/>
            </w:r>
            <w:r w:rsidR="00A1758C">
              <w:rPr>
                <w:noProof/>
                <w:webHidden/>
              </w:rPr>
              <w:instrText xml:space="preserve"> PAGEREF _Toc61956197 \h </w:instrText>
            </w:r>
            <w:r w:rsidR="00A1758C">
              <w:rPr>
                <w:noProof/>
                <w:webHidden/>
              </w:rPr>
            </w:r>
            <w:r w:rsidR="00A1758C">
              <w:rPr>
                <w:noProof/>
                <w:webHidden/>
              </w:rPr>
              <w:fldChar w:fldCharType="separate"/>
            </w:r>
            <w:r w:rsidR="00A1758C">
              <w:rPr>
                <w:noProof/>
                <w:webHidden/>
              </w:rPr>
              <w:t>34</w:t>
            </w:r>
            <w:r w:rsidR="00A1758C">
              <w:rPr>
                <w:noProof/>
                <w:webHidden/>
              </w:rPr>
              <w:fldChar w:fldCharType="end"/>
            </w:r>
          </w:hyperlink>
        </w:p>
        <w:p w14:paraId="69CEF93B" w14:textId="783B4AAA" w:rsidR="00A1758C" w:rsidRDefault="00FB2629">
          <w:pPr>
            <w:pStyle w:val="TOC1"/>
            <w:rPr>
              <w:rFonts w:asciiTheme="minorHAnsi" w:eastAsiaTheme="minorEastAsia" w:hAnsiTheme="minorHAnsi" w:cstheme="minorBidi"/>
              <w:b w:val="0"/>
              <w:noProof/>
              <w:lang w:eastAsia="en-AU"/>
            </w:rPr>
          </w:pPr>
          <w:hyperlink w:anchor="_Toc61956198" w:history="1">
            <w:r w:rsidR="00A1758C" w:rsidRPr="009F558C">
              <w:rPr>
                <w:rStyle w:val="Hyperlink"/>
                <w:noProof/>
                <w:lang w:eastAsia="en-AU"/>
              </w:rPr>
              <w:t>4. Service provision framework</w:t>
            </w:r>
            <w:r w:rsidR="00A1758C">
              <w:rPr>
                <w:noProof/>
                <w:webHidden/>
              </w:rPr>
              <w:tab/>
            </w:r>
            <w:r w:rsidR="00A1758C">
              <w:rPr>
                <w:noProof/>
                <w:webHidden/>
              </w:rPr>
              <w:fldChar w:fldCharType="begin"/>
            </w:r>
            <w:r w:rsidR="00A1758C">
              <w:rPr>
                <w:noProof/>
                <w:webHidden/>
              </w:rPr>
              <w:instrText xml:space="preserve"> PAGEREF _Toc61956198 \h </w:instrText>
            </w:r>
            <w:r w:rsidR="00A1758C">
              <w:rPr>
                <w:noProof/>
                <w:webHidden/>
              </w:rPr>
            </w:r>
            <w:r w:rsidR="00A1758C">
              <w:rPr>
                <w:noProof/>
                <w:webHidden/>
              </w:rPr>
              <w:fldChar w:fldCharType="separate"/>
            </w:r>
            <w:r w:rsidR="00A1758C">
              <w:rPr>
                <w:noProof/>
                <w:webHidden/>
              </w:rPr>
              <w:t>35</w:t>
            </w:r>
            <w:r w:rsidR="00A1758C">
              <w:rPr>
                <w:noProof/>
                <w:webHidden/>
              </w:rPr>
              <w:fldChar w:fldCharType="end"/>
            </w:r>
          </w:hyperlink>
        </w:p>
        <w:p w14:paraId="443C28E5" w14:textId="4325628A" w:rsidR="00A1758C" w:rsidRDefault="00FB2629">
          <w:pPr>
            <w:pStyle w:val="TOC2"/>
            <w:rPr>
              <w:rFonts w:asciiTheme="minorHAnsi" w:eastAsiaTheme="minorEastAsia" w:hAnsiTheme="minorHAnsi" w:cstheme="minorBidi"/>
              <w:noProof/>
              <w:lang w:eastAsia="en-AU"/>
            </w:rPr>
          </w:pPr>
          <w:hyperlink w:anchor="_Toc61956199" w:history="1">
            <w:r w:rsidR="00A1758C" w:rsidRPr="009F558C">
              <w:rPr>
                <w:rStyle w:val="Hyperlink"/>
                <w:noProof/>
                <w:lang w:eastAsia="en-AU"/>
              </w:rPr>
              <w:t>4.1. Background</w:t>
            </w:r>
            <w:r w:rsidR="00A1758C">
              <w:rPr>
                <w:noProof/>
                <w:webHidden/>
              </w:rPr>
              <w:tab/>
            </w:r>
            <w:r w:rsidR="00A1758C">
              <w:rPr>
                <w:noProof/>
                <w:webHidden/>
              </w:rPr>
              <w:fldChar w:fldCharType="begin"/>
            </w:r>
            <w:r w:rsidR="00A1758C">
              <w:rPr>
                <w:noProof/>
                <w:webHidden/>
              </w:rPr>
              <w:instrText xml:space="preserve"> PAGEREF _Toc61956199 \h </w:instrText>
            </w:r>
            <w:r w:rsidR="00A1758C">
              <w:rPr>
                <w:noProof/>
                <w:webHidden/>
              </w:rPr>
            </w:r>
            <w:r w:rsidR="00A1758C">
              <w:rPr>
                <w:noProof/>
                <w:webHidden/>
              </w:rPr>
              <w:fldChar w:fldCharType="separate"/>
            </w:r>
            <w:r w:rsidR="00A1758C">
              <w:rPr>
                <w:noProof/>
                <w:webHidden/>
              </w:rPr>
              <w:t>35</w:t>
            </w:r>
            <w:r w:rsidR="00A1758C">
              <w:rPr>
                <w:noProof/>
                <w:webHidden/>
              </w:rPr>
              <w:fldChar w:fldCharType="end"/>
            </w:r>
          </w:hyperlink>
        </w:p>
        <w:p w14:paraId="52F9B893" w14:textId="5C1142F2" w:rsidR="00A1758C" w:rsidRDefault="00FB2629">
          <w:pPr>
            <w:pStyle w:val="TOC2"/>
            <w:rPr>
              <w:rFonts w:asciiTheme="minorHAnsi" w:eastAsiaTheme="minorEastAsia" w:hAnsiTheme="minorHAnsi" w:cstheme="minorBidi"/>
              <w:noProof/>
              <w:lang w:eastAsia="en-AU"/>
            </w:rPr>
          </w:pPr>
          <w:hyperlink w:anchor="_Toc61956200" w:history="1">
            <w:r w:rsidR="00A1758C" w:rsidRPr="009F558C">
              <w:rPr>
                <w:rStyle w:val="Hyperlink"/>
                <w:noProof/>
                <w:lang w:eastAsia="en-AU"/>
              </w:rPr>
              <w:t>4.2. Submissions</w:t>
            </w:r>
            <w:r w:rsidR="00A1758C">
              <w:rPr>
                <w:noProof/>
                <w:webHidden/>
              </w:rPr>
              <w:tab/>
            </w:r>
            <w:r w:rsidR="00A1758C">
              <w:rPr>
                <w:noProof/>
                <w:webHidden/>
              </w:rPr>
              <w:fldChar w:fldCharType="begin"/>
            </w:r>
            <w:r w:rsidR="00A1758C">
              <w:rPr>
                <w:noProof/>
                <w:webHidden/>
              </w:rPr>
              <w:instrText xml:space="preserve"> PAGEREF _Toc61956200 \h </w:instrText>
            </w:r>
            <w:r w:rsidR="00A1758C">
              <w:rPr>
                <w:noProof/>
                <w:webHidden/>
              </w:rPr>
            </w:r>
            <w:r w:rsidR="00A1758C">
              <w:rPr>
                <w:noProof/>
                <w:webHidden/>
              </w:rPr>
              <w:fldChar w:fldCharType="separate"/>
            </w:r>
            <w:r w:rsidR="00A1758C">
              <w:rPr>
                <w:noProof/>
                <w:webHidden/>
              </w:rPr>
              <w:t>36</w:t>
            </w:r>
            <w:r w:rsidR="00A1758C">
              <w:rPr>
                <w:noProof/>
                <w:webHidden/>
              </w:rPr>
              <w:fldChar w:fldCharType="end"/>
            </w:r>
          </w:hyperlink>
        </w:p>
        <w:p w14:paraId="512AC202" w14:textId="49C4B0FF" w:rsidR="00A1758C" w:rsidRDefault="00FB2629">
          <w:pPr>
            <w:pStyle w:val="TOC2"/>
            <w:rPr>
              <w:rFonts w:asciiTheme="minorHAnsi" w:eastAsiaTheme="minorEastAsia" w:hAnsiTheme="minorHAnsi" w:cstheme="minorBidi"/>
              <w:noProof/>
              <w:lang w:eastAsia="en-AU"/>
            </w:rPr>
          </w:pPr>
          <w:hyperlink w:anchor="_Toc61956201" w:history="1">
            <w:r w:rsidR="00A1758C" w:rsidRPr="009F558C">
              <w:rPr>
                <w:rStyle w:val="Hyperlink"/>
                <w:noProof/>
                <w:lang w:eastAsia="en-AU"/>
              </w:rPr>
              <w:t>4.3. Analysis</w:t>
            </w:r>
            <w:r w:rsidR="00A1758C">
              <w:rPr>
                <w:noProof/>
                <w:webHidden/>
              </w:rPr>
              <w:tab/>
            </w:r>
            <w:r w:rsidR="00A1758C">
              <w:rPr>
                <w:noProof/>
                <w:webHidden/>
              </w:rPr>
              <w:fldChar w:fldCharType="begin"/>
            </w:r>
            <w:r w:rsidR="00A1758C">
              <w:rPr>
                <w:noProof/>
                <w:webHidden/>
              </w:rPr>
              <w:instrText xml:space="preserve"> PAGEREF _Toc61956201 \h </w:instrText>
            </w:r>
            <w:r w:rsidR="00A1758C">
              <w:rPr>
                <w:noProof/>
                <w:webHidden/>
              </w:rPr>
            </w:r>
            <w:r w:rsidR="00A1758C">
              <w:rPr>
                <w:noProof/>
                <w:webHidden/>
              </w:rPr>
              <w:fldChar w:fldCharType="separate"/>
            </w:r>
            <w:r w:rsidR="00A1758C">
              <w:rPr>
                <w:noProof/>
                <w:webHidden/>
              </w:rPr>
              <w:t>38</w:t>
            </w:r>
            <w:r w:rsidR="00A1758C">
              <w:rPr>
                <w:noProof/>
                <w:webHidden/>
              </w:rPr>
              <w:fldChar w:fldCharType="end"/>
            </w:r>
          </w:hyperlink>
        </w:p>
        <w:p w14:paraId="7061A210" w14:textId="060DC2A4" w:rsidR="00A1758C" w:rsidRDefault="00FB2629">
          <w:pPr>
            <w:pStyle w:val="TOC2"/>
            <w:rPr>
              <w:rFonts w:asciiTheme="minorHAnsi" w:eastAsiaTheme="minorEastAsia" w:hAnsiTheme="minorHAnsi" w:cstheme="minorBidi"/>
              <w:noProof/>
              <w:lang w:eastAsia="en-AU"/>
            </w:rPr>
          </w:pPr>
          <w:hyperlink w:anchor="_Toc61956202" w:history="1">
            <w:r w:rsidR="00A1758C" w:rsidRPr="009F558C">
              <w:rPr>
                <w:rStyle w:val="Hyperlink"/>
                <w:noProof/>
                <w:lang w:eastAsia="en-AU"/>
              </w:rPr>
              <w:t>4.4. Draft position</w:t>
            </w:r>
            <w:r w:rsidR="00A1758C">
              <w:rPr>
                <w:noProof/>
                <w:webHidden/>
              </w:rPr>
              <w:tab/>
            </w:r>
            <w:r w:rsidR="00A1758C">
              <w:rPr>
                <w:noProof/>
                <w:webHidden/>
              </w:rPr>
              <w:fldChar w:fldCharType="begin"/>
            </w:r>
            <w:r w:rsidR="00A1758C">
              <w:rPr>
                <w:noProof/>
                <w:webHidden/>
              </w:rPr>
              <w:instrText xml:space="preserve"> PAGEREF _Toc61956202 \h </w:instrText>
            </w:r>
            <w:r w:rsidR="00A1758C">
              <w:rPr>
                <w:noProof/>
                <w:webHidden/>
              </w:rPr>
            </w:r>
            <w:r w:rsidR="00A1758C">
              <w:rPr>
                <w:noProof/>
                <w:webHidden/>
              </w:rPr>
              <w:fldChar w:fldCharType="separate"/>
            </w:r>
            <w:r w:rsidR="00A1758C">
              <w:rPr>
                <w:noProof/>
                <w:webHidden/>
              </w:rPr>
              <w:t>43</w:t>
            </w:r>
            <w:r w:rsidR="00A1758C">
              <w:rPr>
                <w:noProof/>
                <w:webHidden/>
              </w:rPr>
              <w:fldChar w:fldCharType="end"/>
            </w:r>
          </w:hyperlink>
        </w:p>
        <w:p w14:paraId="6C9329C2" w14:textId="71DD81E6" w:rsidR="00A1758C" w:rsidRDefault="00FB2629">
          <w:pPr>
            <w:pStyle w:val="TOC1"/>
            <w:rPr>
              <w:rFonts w:asciiTheme="minorHAnsi" w:eastAsiaTheme="minorEastAsia" w:hAnsiTheme="minorHAnsi" w:cstheme="minorBidi"/>
              <w:b w:val="0"/>
              <w:noProof/>
              <w:lang w:eastAsia="en-AU"/>
            </w:rPr>
          </w:pPr>
          <w:hyperlink w:anchor="_Toc61956203" w:history="1">
            <w:r w:rsidR="00A1758C" w:rsidRPr="009F558C">
              <w:rPr>
                <w:rStyle w:val="Hyperlink"/>
                <w:noProof/>
                <w:lang w:eastAsia="en-AU"/>
              </w:rPr>
              <w:t>5. Administered pricing arrangements and market power mitigation</w:t>
            </w:r>
            <w:r w:rsidR="00A1758C">
              <w:rPr>
                <w:noProof/>
                <w:webHidden/>
              </w:rPr>
              <w:tab/>
            </w:r>
            <w:r w:rsidR="00A1758C">
              <w:rPr>
                <w:noProof/>
                <w:webHidden/>
              </w:rPr>
              <w:fldChar w:fldCharType="begin"/>
            </w:r>
            <w:r w:rsidR="00A1758C">
              <w:rPr>
                <w:noProof/>
                <w:webHidden/>
              </w:rPr>
              <w:instrText xml:space="preserve"> PAGEREF _Toc61956203 \h </w:instrText>
            </w:r>
            <w:r w:rsidR="00A1758C">
              <w:rPr>
                <w:noProof/>
                <w:webHidden/>
              </w:rPr>
            </w:r>
            <w:r w:rsidR="00A1758C">
              <w:rPr>
                <w:noProof/>
                <w:webHidden/>
              </w:rPr>
              <w:fldChar w:fldCharType="separate"/>
            </w:r>
            <w:r w:rsidR="00A1758C">
              <w:rPr>
                <w:noProof/>
                <w:webHidden/>
              </w:rPr>
              <w:t>44</w:t>
            </w:r>
            <w:r w:rsidR="00A1758C">
              <w:rPr>
                <w:noProof/>
                <w:webHidden/>
              </w:rPr>
              <w:fldChar w:fldCharType="end"/>
            </w:r>
          </w:hyperlink>
        </w:p>
        <w:p w14:paraId="64B5F1AF" w14:textId="379D6577" w:rsidR="00A1758C" w:rsidRDefault="00FB2629">
          <w:pPr>
            <w:pStyle w:val="TOC2"/>
            <w:rPr>
              <w:rFonts w:asciiTheme="minorHAnsi" w:eastAsiaTheme="minorEastAsia" w:hAnsiTheme="minorHAnsi" w:cstheme="minorBidi"/>
              <w:noProof/>
              <w:lang w:eastAsia="en-AU"/>
            </w:rPr>
          </w:pPr>
          <w:hyperlink w:anchor="_Toc61956204" w:history="1">
            <w:r w:rsidR="00A1758C" w:rsidRPr="009F558C">
              <w:rPr>
                <w:rStyle w:val="Hyperlink"/>
                <w:rFonts w:cs="Arial"/>
                <w:noProof/>
              </w:rPr>
              <w:t>5.1.</w:t>
            </w:r>
            <w:r w:rsidR="00A1758C" w:rsidRPr="009F558C">
              <w:rPr>
                <w:rStyle w:val="Hyperlink"/>
                <w:noProof/>
                <w:lang w:eastAsia="en-AU"/>
              </w:rPr>
              <w:t xml:space="preserve"> Background</w:t>
            </w:r>
            <w:r w:rsidR="00A1758C">
              <w:rPr>
                <w:noProof/>
                <w:webHidden/>
              </w:rPr>
              <w:tab/>
            </w:r>
            <w:r w:rsidR="00A1758C">
              <w:rPr>
                <w:noProof/>
                <w:webHidden/>
              </w:rPr>
              <w:fldChar w:fldCharType="begin"/>
            </w:r>
            <w:r w:rsidR="00A1758C">
              <w:rPr>
                <w:noProof/>
                <w:webHidden/>
              </w:rPr>
              <w:instrText xml:space="preserve"> PAGEREF _Toc61956204 \h </w:instrText>
            </w:r>
            <w:r w:rsidR="00A1758C">
              <w:rPr>
                <w:noProof/>
                <w:webHidden/>
              </w:rPr>
            </w:r>
            <w:r w:rsidR="00A1758C">
              <w:rPr>
                <w:noProof/>
                <w:webHidden/>
              </w:rPr>
              <w:fldChar w:fldCharType="separate"/>
            </w:r>
            <w:r w:rsidR="00A1758C">
              <w:rPr>
                <w:noProof/>
                <w:webHidden/>
              </w:rPr>
              <w:t>44</w:t>
            </w:r>
            <w:r w:rsidR="00A1758C">
              <w:rPr>
                <w:noProof/>
                <w:webHidden/>
              </w:rPr>
              <w:fldChar w:fldCharType="end"/>
            </w:r>
          </w:hyperlink>
        </w:p>
        <w:p w14:paraId="3305AA4E" w14:textId="31086C13" w:rsidR="00A1758C" w:rsidRDefault="00FB2629">
          <w:pPr>
            <w:pStyle w:val="TOC2"/>
            <w:rPr>
              <w:rFonts w:asciiTheme="minorHAnsi" w:eastAsiaTheme="minorEastAsia" w:hAnsiTheme="minorHAnsi" w:cstheme="minorBidi"/>
              <w:noProof/>
              <w:lang w:eastAsia="en-AU"/>
            </w:rPr>
          </w:pPr>
          <w:hyperlink w:anchor="_Toc61956205" w:history="1">
            <w:r w:rsidR="00A1758C" w:rsidRPr="009F558C">
              <w:rPr>
                <w:rStyle w:val="Hyperlink"/>
                <w:noProof/>
                <w:lang w:eastAsia="en-AU"/>
              </w:rPr>
              <w:t>5.2. Stakeholder submissions</w:t>
            </w:r>
            <w:r w:rsidR="00A1758C">
              <w:rPr>
                <w:noProof/>
                <w:webHidden/>
              </w:rPr>
              <w:tab/>
            </w:r>
            <w:r w:rsidR="00A1758C">
              <w:rPr>
                <w:noProof/>
                <w:webHidden/>
              </w:rPr>
              <w:fldChar w:fldCharType="begin"/>
            </w:r>
            <w:r w:rsidR="00A1758C">
              <w:rPr>
                <w:noProof/>
                <w:webHidden/>
              </w:rPr>
              <w:instrText xml:space="preserve"> PAGEREF _Toc61956205 \h </w:instrText>
            </w:r>
            <w:r w:rsidR="00A1758C">
              <w:rPr>
                <w:noProof/>
                <w:webHidden/>
              </w:rPr>
            </w:r>
            <w:r w:rsidR="00A1758C">
              <w:rPr>
                <w:noProof/>
                <w:webHidden/>
              </w:rPr>
              <w:fldChar w:fldCharType="separate"/>
            </w:r>
            <w:r w:rsidR="00A1758C">
              <w:rPr>
                <w:noProof/>
                <w:webHidden/>
              </w:rPr>
              <w:t>45</w:t>
            </w:r>
            <w:r w:rsidR="00A1758C">
              <w:rPr>
                <w:noProof/>
                <w:webHidden/>
              </w:rPr>
              <w:fldChar w:fldCharType="end"/>
            </w:r>
          </w:hyperlink>
        </w:p>
        <w:p w14:paraId="7B63431B" w14:textId="6F584859" w:rsidR="00A1758C" w:rsidRDefault="00FB2629">
          <w:pPr>
            <w:pStyle w:val="TOC2"/>
            <w:rPr>
              <w:rFonts w:asciiTheme="minorHAnsi" w:eastAsiaTheme="minorEastAsia" w:hAnsiTheme="minorHAnsi" w:cstheme="minorBidi"/>
              <w:noProof/>
              <w:lang w:eastAsia="en-AU"/>
            </w:rPr>
          </w:pPr>
          <w:hyperlink w:anchor="_Toc61956206" w:history="1">
            <w:r w:rsidR="00A1758C" w:rsidRPr="009F558C">
              <w:rPr>
                <w:rStyle w:val="Hyperlink"/>
                <w:noProof/>
                <w:lang w:eastAsia="en-AU"/>
              </w:rPr>
              <w:t>5.3. Analysis</w:t>
            </w:r>
            <w:r w:rsidR="00A1758C">
              <w:rPr>
                <w:noProof/>
                <w:webHidden/>
              </w:rPr>
              <w:tab/>
            </w:r>
            <w:r w:rsidR="00A1758C">
              <w:rPr>
                <w:noProof/>
                <w:webHidden/>
              </w:rPr>
              <w:fldChar w:fldCharType="begin"/>
            </w:r>
            <w:r w:rsidR="00A1758C">
              <w:rPr>
                <w:noProof/>
                <w:webHidden/>
              </w:rPr>
              <w:instrText xml:space="preserve"> PAGEREF _Toc61956206 \h </w:instrText>
            </w:r>
            <w:r w:rsidR="00A1758C">
              <w:rPr>
                <w:noProof/>
                <w:webHidden/>
              </w:rPr>
            </w:r>
            <w:r w:rsidR="00A1758C">
              <w:rPr>
                <w:noProof/>
                <w:webHidden/>
              </w:rPr>
              <w:fldChar w:fldCharType="separate"/>
            </w:r>
            <w:r w:rsidR="00A1758C">
              <w:rPr>
                <w:noProof/>
                <w:webHidden/>
              </w:rPr>
              <w:t>47</w:t>
            </w:r>
            <w:r w:rsidR="00A1758C">
              <w:rPr>
                <w:noProof/>
                <w:webHidden/>
              </w:rPr>
              <w:fldChar w:fldCharType="end"/>
            </w:r>
          </w:hyperlink>
        </w:p>
        <w:p w14:paraId="2A125BAB" w14:textId="26FAB199" w:rsidR="00A1758C" w:rsidRDefault="00FB2629">
          <w:pPr>
            <w:pStyle w:val="TOC2"/>
            <w:rPr>
              <w:rFonts w:asciiTheme="minorHAnsi" w:eastAsiaTheme="minorEastAsia" w:hAnsiTheme="minorHAnsi" w:cstheme="minorBidi"/>
              <w:noProof/>
              <w:lang w:eastAsia="en-AU"/>
            </w:rPr>
          </w:pPr>
          <w:hyperlink w:anchor="_Toc61956207" w:history="1">
            <w:r w:rsidR="00A1758C" w:rsidRPr="009F558C">
              <w:rPr>
                <w:rStyle w:val="Hyperlink"/>
                <w:noProof/>
                <w:lang w:eastAsia="en-AU"/>
              </w:rPr>
              <w:t>5.4. Draft position</w:t>
            </w:r>
            <w:r w:rsidR="00A1758C">
              <w:rPr>
                <w:noProof/>
                <w:webHidden/>
              </w:rPr>
              <w:tab/>
            </w:r>
            <w:r w:rsidR="00A1758C">
              <w:rPr>
                <w:noProof/>
                <w:webHidden/>
              </w:rPr>
              <w:fldChar w:fldCharType="begin"/>
            </w:r>
            <w:r w:rsidR="00A1758C">
              <w:rPr>
                <w:noProof/>
                <w:webHidden/>
              </w:rPr>
              <w:instrText xml:space="preserve"> PAGEREF _Toc61956207 \h </w:instrText>
            </w:r>
            <w:r w:rsidR="00A1758C">
              <w:rPr>
                <w:noProof/>
                <w:webHidden/>
              </w:rPr>
            </w:r>
            <w:r w:rsidR="00A1758C">
              <w:rPr>
                <w:noProof/>
                <w:webHidden/>
              </w:rPr>
              <w:fldChar w:fldCharType="separate"/>
            </w:r>
            <w:r w:rsidR="00A1758C">
              <w:rPr>
                <w:noProof/>
                <w:webHidden/>
              </w:rPr>
              <w:t>51</w:t>
            </w:r>
            <w:r w:rsidR="00A1758C">
              <w:rPr>
                <w:noProof/>
                <w:webHidden/>
              </w:rPr>
              <w:fldChar w:fldCharType="end"/>
            </w:r>
          </w:hyperlink>
        </w:p>
        <w:p w14:paraId="1D538883" w14:textId="0190CA63" w:rsidR="00A1758C" w:rsidRDefault="00FB2629">
          <w:pPr>
            <w:pStyle w:val="TOC1"/>
            <w:rPr>
              <w:rFonts w:asciiTheme="minorHAnsi" w:eastAsiaTheme="minorEastAsia" w:hAnsiTheme="minorHAnsi" w:cstheme="minorBidi"/>
              <w:b w:val="0"/>
              <w:noProof/>
              <w:lang w:eastAsia="en-AU"/>
            </w:rPr>
          </w:pPr>
          <w:hyperlink w:anchor="_Toc61956208" w:history="1">
            <w:r w:rsidR="00A1758C" w:rsidRPr="009F558C">
              <w:rPr>
                <w:rStyle w:val="Hyperlink"/>
                <w:noProof/>
                <w:lang w:eastAsia="en-AU"/>
              </w:rPr>
              <w:t>6. Cost allocation and settlement</w:t>
            </w:r>
            <w:r w:rsidR="00A1758C">
              <w:rPr>
                <w:noProof/>
                <w:webHidden/>
              </w:rPr>
              <w:tab/>
            </w:r>
            <w:r w:rsidR="00A1758C">
              <w:rPr>
                <w:noProof/>
                <w:webHidden/>
              </w:rPr>
              <w:fldChar w:fldCharType="begin"/>
            </w:r>
            <w:r w:rsidR="00A1758C">
              <w:rPr>
                <w:noProof/>
                <w:webHidden/>
              </w:rPr>
              <w:instrText xml:space="preserve"> PAGEREF _Toc61956208 \h </w:instrText>
            </w:r>
            <w:r w:rsidR="00A1758C">
              <w:rPr>
                <w:noProof/>
                <w:webHidden/>
              </w:rPr>
            </w:r>
            <w:r w:rsidR="00A1758C">
              <w:rPr>
                <w:noProof/>
                <w:webHidden/>
              </w:rPr>
              <w:fldChar w:fldCharType="separate"/>
            </w:r>
            <w:r w:rsidR="00A1758C">
              <w:rPr>
                <w:noProof/>
                <w:webHidden/>
              </w:rPr>
              <w:t>53</w:t>
            </w:r>
            <w:r w:rsidR="00A1758C">
              <w:rPr>
                <w:noProof/>
                <w:webHidden/>
              </w:rPr>
              <w:fldChar w:fldCharType="end"/>
            </w:r>
          </w:hyperlink>
        </w:p>
        <w:p w14:paraId="28A8D7D1" w14:textId="24A9EE5B" w:rsidR="00A1758C" w:rsidRDefault="00FB2629">
          <w:pPr>
            <w:pStyle w:val="TOC2"/>
            <w:rPr>
              <w:rFonts w:asciiTheme="minorHAnsi" w:eastAsiaTheme="minorEastAsia" w:hAnsiTheme="minorHAnsi" w:cstheme="minorBidi"/>
              <w:noProof/>
              <w:lang w:eastAsia="en-AU"/>
            </w:rPr>
          </w:pPr>
          <w:hyperlink w:anchor="_Toc61956209" w:history="1">
            <w:r w:rsidR="00A1758C" w:rsidRPr="009F558C">
              <w:rPr>
                <w:rStyle w:val="Hyperlink"/>
                <w:noProof/>
                <w:lang w:eastAsia="en-AU"/>
              </w:rPr>
              <w:t>6.1. Background</w:t>
            </w:r>
            <w:r w:rsidR="00A1758C">
              <w:rPr>
                <w:noProof/>
                <w:webHidden/>
              </w:rPr>
              <w:tab/>
            </w:r>
            <w:r w:rsidR="00A1758C">
              <w:rPr>
                <w:noProof/>
                <w:webHidden/>
              </w:rPr>
              <w:fldChar w:fldCharType="begin"/>
            </w:r>
            <w:r w:rsidR="00A1758C">
              <w:rPr>
                <w:noProof/>
                <w:webHidden/>
              </w:rPr>
              <w:instrText xml:space="preserve"> PAGEREF _Toc61956209 \h </w:instrText>
            </w:r>
            <w:r w:rsidR="00A1758C">
              <w:rPr>
                <w:noProof/>
                <w:webHidden/>
              </w:rPr>
            </w:r>
            <w:r w:rsidR="00A1758C">
              <w:rPr>
                <w:noProof/>
                <w:webHidden/>
              </w:rPr>
              <w:fldChar w:fldCharType="separate"/>
            </w:r>
            <w:r w:rsidR="00A1758C">
              <w:rPr>
                <w:noProof/>
                <w:webHidden/>
              </w:rPr>
              <w:t>53</w:t>
            </w:r>
            <w:r w:rsidR="00A1758C">
              <w:rPr>
                <w:noProof/>
                <w:webHidden/>
              </w:rPr>
              <w:fldChar w:fldCharType="end"/>
            </w:r>
          </w:hyperlink>
        </w:p>
        <w:p w14:paraId="706C38AD" w14:textId="4AC1CFBD" w:rsidR="00A1758C" w:rsidRDefault="00FB2629">
          <w:pPr>
            <w:pStyle w:val="TOC2"/>
            <w:rPr>
              <w:rFonts w:asciiTheme="minorHAnsi" w:eastAsiaTheme="minorEastAsia" w:hAnsiTheme="minorHAnsi" w:cstheme="minorBidi"/>
              <w:noProof/>
              <w:lang w:eastAsia="en-AU"/>
            </w:rPr>
          </w:pPr>
          <w:hyperlink w:anchor="_Toc61956210" w:history="1">
            <w:r w:rsidR="00A1758C" w:rsidRPr="009F558C">
              <w:rPr>
                <w:rStyle w:val="Hyperlink"/>
                <w:noProof/>
                <w:lang w:eastAsia="en-AU"/>
              </w:rPr>
              <w:t>6.2. Submissions</w:t>
            </w:r>
            <w:r w:rsidR="00A1758C">
              <w:rPr>
                <w:noProof/>
                <w:webHidden/>
              </w:rPr>
              <w:tab/>
            </w:r>
            <w:r w:rsidR="00A1758C">
              <w:rPr>
                <w:noProof/>
                <w:webHidden/>
              </w:rPr>
              <w:fldChar w:fldCharType="begin"/>
            </w:r>
            <w:r w:rsidR="00A1758C">
              <w:rPr>
                <w:noProof/>
                <w:webHidden/>
              </w:rPr>
              <w:instrText xml:space="preserve"> PAGEREF _Toc61956210 \h </w:instrText>
            </w:r>
            <w:r w:rsidR="00A1758C">
              <w:rPr>
                <w:noProof/>
                <w:webHidden/>
              </w:rPr>
            </w:r>
            <w:r w:rsidR="00A1758C">
              <w:rPr>
                <w:noProof/>
                <w:webHidden/>
              </w:rPr>
              <w:fldChar w:fldCharType="separate"/>
            </w:r>
            <w:r w:rsidR="00A1758C">
              <w:rPr>
                <w:noProof/>
                <w:webHidden/>
              </w:rPr>
              <w:t>54</w:t>
            </w:r>
            <w:r w:rsidR="00A1758C">
              <w:rPr>
                <w:noProof/>
                <w:webHidden/>
              </w:rPr>
              <w:fldChar w:fldCharType="end"/>
            </w:r>
          </w:hyperlink>
        </w:p>
        <w:p w14:paraId="02C73731" w14:textId="09B05943" w:rsidR="00A1758C" w:rsidRDefault="00FB2629">
          <w:pPr>
            <w:pStyle w:val="TOC2"/>
            <w:rPr>
              <w:rFonts w:asciiTheme="minorHAnsi" w:eastAsiaTheme="minorEastAsia" w:hAnsiTheme="minorHAnsi" w:cstheme="minorBidi"/>
              <w:noProof/>
              <w:lang w:eastAsia="en-AU"/>
            </w:rPr>
          </w:pPr>
          <w:hyperlink w:anchor="_Toc61956211" w:history="1">
            <w:r w:rsidR="00A1758C" w:rsidRPr="009F558C">
              <w:rPr>
                <w:rStyle w:val="Hyperlink"/>
                <w:noProof/>
                <w:lang w:eastAsia="en-AU"/>
              </w:rPr>
              <w:t>6.3. Analysis</w:t>
            </w:r>
            <w:r w:rsidR="00A1758C">
              <w:rPr>
                <w:noProof/>
                <w:webHidden/>
              </w:rPr>
              <w:tab/>
            </w:r>
            <w:r w:rsidR="00A1758C">
              <w:rPr>
                <w:noProof/>
                <w:webHidden/>
              </w:rPr>
              <w:fldChar w:fldCharType="begin"/>
            </w:r>
            <w:r w:rsidR="00A1758C">
              <w:rPr>
                <w:noProof/>
                <w:webHidden/>
              </w:rPr>
              <w:instrText xml:space="preserve"> PAGEREF _Toc61956211 \h </w:instrText>
            </w:r>
            <w:r w:rsidR="00A1758C">
              <w:rPr>
                <w:noProof/>
                <w:webHidden/>
              </w:rPr>
            </w:r>
            <w:r w:rsidR="00A1758C">
              <w:rPr>
                <w:noProof/>
                <w:webHidden/>
              </w:rPr>
              <w:fldChar w:fldCharType="separate"/>
            </w:r>
            <w:r w:rsidR="00A1758C">
              <w:rPr>
                <w:noProof/>
                <w:webHidden/>
              </w:rPr>
              <w:t>56</w:t>
            </w:r>
            <w:r w:rsidR="00A1758C">
              <w:rPr>
                <w:noProof/>
                <w:webHidden/>
              </w:rPr>
              <w:fldChar w:fldCharType="end"/>
            </w:r>
          </w:hyperlink>
        </w:p>
        <w:p w14:paraId="2F9D0D79" w14:textId="72201C4E" w:rsidR="00A1758C" w:rsidRDefault="00FB2629">
          <w:pPr>
            <w:pStyle w:val="TOC2"/>
            <w:rPr>
              <w:rFonts w:asciiTheme="minorHAnsi" w:eastAsiaTheme="minorEastAsia" w:hAnsiTheme="minorHAnsi" w:cstheme="minorBidi"/>
              <w:noProof/>
              <w:lang w:eastAsia="en-AU"/>
            </w:rPr>
          </w:pPr>
          <w:hyperlink w:anchor="_Toc61956212" w:history="1">
            <w:r w:rsidR="00A1758C" w:rsidRPr="009F558C">
              <w:rPr>
                <w:rStyle w:val="Hyperlink"/>
                <w:noProof/>
                <w:lang w:eastAsia="en-AU"/>
              </w:rPr>
              <w:t>6.4. Draft position</w:t>
            </w:r>
            <w:r w:rsidR="00A1758C">
              <w:rPr>
                <w:noProof/>
                <w:webHidden/>
              </w:rPr>
              <w:tab/>
            </w:r>
            <w:r w:rsidR="00A1758C">
              <w:rPr>
                <w:noProof/>
                <w:webHidden/>
              </w:rPr>
              <w:fldChar w:fldCharType="begin"/>
            </w:r>
            <w:r w:rsidR="00A1758C">
              <w:rPr>
                <w:noProof/>
                <w:webHidden/>
              </w:rPr>
              <w:instrText xml:space="preserve"> PAGEREF _Toc61956212 \h </w:instrText>
            </w:r>
            <w:r w:rsidR="00A1758C">
              <w:rPr>
                <w:noProof/>
                <w:webHidden/>
              </w:rPr>
            </w:r>
            <w:r w:rsidR="00A1758C">
              <w:rPr>
                <w:noProof/>
                <w:webHidden/>
              </w:rPr>
              <w:fldChar w:fldCharType="separate"/>
            </w:r>
            <w:r w:rsidR="00A1758C">
              <w:rPr>
                <w:noProof/>
                <w:webHidden/>
              </w:rPr>
              <w:t>58</w:t>
            </w:r>
            <w:r w:rsidR="00A1758C">
              <w:rPr>
                <w:noProof/>
                <w:webHidden/>
              </w:rPr>
              <w:fldChar w:fldCharType="end"/>
            </w:r>
          </w:hyperlink>
        </w:p>
        <w:p w14:paraId="371A970E" w14:textId="0EB1EFD8" w:rsidR="00A1758C" w:rsidRDefault="00FB2629">
          <w:pPr>
            <w:pStyle w:val="TOC1"/>
            <w:rPr>
              <w:rFonts w:asciiTheme="minorHAnsi" w:eastAsiaTheme="minorEastAsia" w:hAnsiTheme="minorHAnsi" w:cstheme="minorBidi"/>
              <w:b w:val="0"/>
              <w:noProof/>
              <w:lang w:eastAsia="en-AU"/>
            </w:rPr>
          </w:pPr>
          <w:hyperlink w:anchor="_Toc61956213" w:history="1">
            <w:r w:rsidR="00A1758C" w:rsidRPr="009F558C">
              <w:rPr>
                <w:rStyle w:val="Hyperlink"/>
                <w:noProof/>
                <w:lang w:eastAsia="en-AU"/>
              </w:rPr>
              <w:t>7. Implementation</w:t>
            </w:r>
            <w:r w:rsidR="00A1758C">
              <w:rPr>
                <w:noProof/>
                <w:webHidden/>
              </w:rPr>
              <w:tab/>
            </w:r>
            <w:r w:rsidR="00A1758C">
              <w:rPr>
                <w:noProof/>
                <w:webHidden/>
              </w:rPr>
              <w:fldChar w:fldCharType="begin"/>
            </w:r>
            <w:r w:rsidR="00A1758C">
              <w:rPr>
                <w:noProof/>
                <w:webHidden/>
              </w:rPr>
              <w:instrText xml:space="preserve"> PAGEREF _Toc61956213 \h </w:instrText>
            </w:r>
            <w:r w:rsidR="00A1758C">
              <w:rPr>
                <w:noProof/>
                <w:webHidden/>
              </w:rPr>
            </w:r>
            <w:r w:rsidR="00A1758C">
              <w:rPr>
                <w:noProof/>
                <w:webHidden/>
              </w:rPr>
              <w:fldChar w:fldCharType="separate"/>
            </w:r>
            <w:r w:rsidR="00A1758C">
              <w:rPr>
                <w:noProof/>
                <w:webHidden/>
              </w:rPr>
              <w:t>60</w:t>
            </w:r>
            <w:r w:rsidR="00A1758C">
              <w:rPr>
                <w:noProof/>
                <w:webHidden/>
              </w:rPr>
              <w:fldChar w:fldCharType="end"/>
            </w:r>
          </w:hyperlink>
        </w:p>
        <w:p w14:paraId="1221B221" w14:textId="10375DAF" w:rsidR="00A1758C" w:rsidRDefault="00FB2629">
          <w:pPr>
            <w:pStyle w:val="TOC2"/>
            <w:rPr>
              <w:rFonts w:asciiTheme="minorHAnsi" w:eastAsiaTheme="minorEastAsia" w:hAnsiTheme="minorHAnsi" w:cstheme="minorBidi"/>
              <w:noProof/>
              <w:lang w:eastAsia="en-AU"/>
            </w:rPr>
          </w:pPr>
          <w:hyperlink w:anchor="_Toc61956214" w:history="1">
            <w:r w:rsidR="00A1758C" w:rsidRPr="009F558C">
              <w:rPr>
                <w:rStyle w:val="Hyperlink"/>
                <w:noProof/>
                <w:lang w:eastAsia="en-AU"/>
              </w:rPr>
              <w:t>7.1. Background</w:t>
            </w:r>
            <w:r w:rsidR="00A1758C">
              <w:rPr>
                <w:noProof/>
                <w:webHidden/>
              </w:rPr>
              <w:tab/>
            </w:r>
            <w:r w:rsidR="00A1758C">
              <w:rPr>
                <w:noProof/>
                <w:webHidden/>
              </w:rPr>
              <w:fldChar w:fldCharType="begin"/>
            </w:r>
            <w:r w:rsidR="00A1758C">
              <w:rPr>
                <w:noProof/>
                <w:webHidden/>
              </w:rPr>
              <w:instrText xml:space="preserve"> PAGEREF _Toc61956214 \h </w:instrText>
            </w:r>
            <w:r w:rsidR="00A1758C">
              <w:rPr>
                <w:noProof/>
                <w:webHidden/>
              </w:rPr>
            </w:r>
            <w:r w:rsidR="00A1758C">
              <w:rPr>
                <w:noProof/>
                <w:webHidden/>
              </w:rPr>
              <w:fldChar w:fldCharType="separate"/>
            </w:r>
            <w:r w:rsidR="00A1758C">
              <w:rPr>
                <w:noProof/>
                <w:webHidden/>
              </w:rPr>
              <w:t>60</w:t>
            </w:r>
            <w:r w:rsidR="00A1758C">
              <w:rPr>
                <w:noProof/>
                <w:webHidden/>
              </w:rPr>
              <w:fldChar w:fldCharType="end"/>
            </w:r>
          </w:hyperlink>
        </w:p>
        <w:p w14:paraId="31BB5EC0" w14:textId="70A24F72" w:rsidR="00A1758C" w:rsidRDefault="00FB2629">
          <w:pPr>
            <w:pStyle w:val="TOC2"/>
            <w:rPr>
              <w:rFonts w:asciiTheme="minorHAnsi" w:eastAsiaTheme="minorEastAsia" w:hAnsiTheme="minorHAnsi" w:cstheme="minorBidi"/>
              <w:noProof/>
              <w:lang w:eastAsia="en-AU"/>
            </w:rPr>
          </w:pPr>
          <w:hyperlink w:anchor="_Toc61956215" w:history="1">
            <w:r w:rsidR="00A1758C" w:rsidRPr="009F558C">
              <w:rPr>
                <w:rStyle w:val="Hyperlink"/>
                <w:noProof/>
                <w:lang w:eastAsia="en-AU"/>
              </w:rPr>
              <w:t>7.2. Submissions</w:t>
            </w:r>
            <w:r w:rsidR="00A1758C">
              <w:rPr>
                <w:noProof/>
                <w:webHidden/>
              </w:rPr>
              <w:tab/>
            </w:r>
            <w:r w:rsidR="00A1758C">
              <w:rPr>
                <w:noProof/>
                <w:webHidden/>
              </w:rPr>
              <w:fldChar w:fldCharType="begin"/>
            </w:r>
            <w:r w:rsidR="00A1758C">
              <w:rPr>
                <w:noProof/>
                <w:webHidden/>
              </w:rPr>
              <w:instrText xml:space="preserve"> PAGEREF _Toc61956215 \h </w:instrText>
            </w:r>
            <w:r w:rsidR="00A1758C">
              <w:rPr>
                <w:noProof/>
                <w:webHidden/>
              </w:rPr>
            </w:r>
            <w:r w:rsidR="00A1758C">
              <w:rPr>
                <w:noProof/>
                <w:webHidden/>
              </w:rPr>
              <w:fldChar w:fldCharType="separate"/>
            </w:r>
            <w:r w:rsidR="00A1758C">
              <w:rPr>
                <w:noProof/>
                <w:webHidden/>
              </w:rPr>
              <w:t>60</w:t>
            </w:r>
            <w:r w:rsidR="00A1758C">
              <w:rPr>
                <w:noProof/>
                <w:webHidden/>
              </w:rPr>
              <w:fldChar w:fldCharType="end"/>
            </w:r>
          </w:hyperlink>
        </w:p>
        <w:p w14:paraId="7C2EBF84" w14:textId="096695E4" w:rsidR="00A1758C" w:rsidRDefault="00FB2629">
          <w:pPr>
            <w:pStyle w:val="TOC2"/>
            <w:rPr>
              <w:rFonts w:asciiTheme="minorHAnsi" w:eastAsiaTheme="minorEastAsia" w:hAnsiTheme="minorHAnsi" w:cstheme="minorBidi"/>
              <w:noProof/>
              <w:lang w:eastAsia="en-AU"/>
            </w:rPr>
          </w:pPr>
          <w:hyperlink w:anchor="_Toc61956216" w:history="1">
            <w:r w:rsidR="00A1758C" w:rsidRPr="009F558C">
              <w:rPr>
                <w:rStyle w:val="Hyperlink"/>
                <w:noProof/>
                <w:lang w:eastAsia="en-AU"/>
              </w:rPr>
              <w:t>7.3. Analysis</w:t>
            </w:r>
            <w:r w:rsidR="00A1758C">
              <w:rPr>
                <w:noProof/>
                <w:webHidden/>
              </w:rPr>
              <w:tab/>
            </w:r>
            <w:r w:rsidR="00A1758C">
              <w:rPr>
                <w:noProof/>
                <w:webHidden/>
              </w:rPr>
              <w:fldChar w:fldCharType="begin"/>
            </w:r>
            <w:r w:rsidR="00A1758C">
              <w:rPr>
                <w:noProof/>
                <w:webHidden/>
              </w:rPr>
              <w:instrText xml:space="preserve"> PAGEREF _Toc61956216 \h </w:instrText>
            </w:r>
            <w:r w:rsidR="00A1758C">
              <w:rPr>
                <w:noProof/>
                <w:webHidden/>
              </w:rPr>
            </w:r>
            <w:r w:rsidR="00A1758C">
              <w:rPr>
                <w:noProof/>
                <w:webHidden/>
              </w:rPr>
              <w:fldChar w:fldCharType="separate"/>
            </w:r>
            <w:r w:rsidR="00A1758C">
              <w:rPr>
                <w:noProof/>
                <w:webHidden/>
              </w:rPr>
              <w:t>61</w:t>
            </w:r>
            <w:r w:rsidR="00A1758C">
              <w:rPr>
                <w:noProof/>
                <w:webHidden/>
              </w:rPr>
              <w:fldChar w:fldCharType="end"/>
            </w:r>
          </w:hyperlink>
        </w:p>
        <w:p w14:paraId="28762E01" w14:textId="66448DCB" w:rsidR="00A1758C" w:rsidRDefault="00FB2629">
          <w:pPr>
            <w:pStyle w:val="TOC2"/>
            <w:rPr>
              <w:rFonts w:asciiTheme="minorHAnsi" w:eastAsiaTheme="minorEastAsia" w:hAnsiTheme="minorHAnsi" w:cstheme="minorBidi"/>
              <w:noProof/>
              <w:lang w:eastAsia="en-AU"/>
            </w:rPr>
          </w:pPr>
          <w:hyperlink w:anchor="_Toc61956217" w:history="1">
            <w:r w:rsidR="00A1758C" w:rsidRPr="009F558C">
              <w:rPr>
                <w:rStyle w:val="Hyperlink"/>
                <w:noProof/>
                <w:lang w:eastAsia="en-AU"/>
              </w:rPr>
              <w:t>7.4. Draft position</w:t>
            </w:r>
            <w:r w:rsidR="00A1758C">
              <w:rPr>
                <w:noProof/>
                <w:webHidden/>
              </w:rPr>
              <w:tab/>
            </w:r>
            <w:r w:rsidR="00A1758C">
              <w:rPr>
                <w:noProof/>
                <w:webHidden/>
              </w:rPr>
              <w:fldChar w:fldCharType="begin"/>
            </w:r>
            <w:r w:rsidR="00A1758C">
              <w:rPr>
                <w:noProof/>
                <w:webHidden/>
              </w:rPr>
              <w:instrText xml:space="preserve"> PAGEREF _Toc61956217 \h </w:instrText>
            </w:r>
            <w:r w:rsidR="00A1758C">
              <w:rPr>
                <w:noProof/>
                <w:webHidden/>
              </w:rPr>
            </w:r>
            <w:r w:rsidR="00A1758C">
              <w:rPr>
                <w:noProof/>
                <w:webHidden/>
              </w:rPr>
              <w:fldChar w:fldCharType="separate"/>
            </w:r>
            <w:r w:rsidR="00A1758C">
              <w:rPr>
                <w:noProof/>
                <w:webHidden/>
              </w:rPr>
              <w:t>62</w:t>
            </w:r>
            <w:r w:rsidR="00A1758C">
              <w:rPr>
                <w:noProof/>
                <w:webHidden/>
              </w:rPr>
              <w:fldChar w:fldCharType="end"/>
            </w:r>
          </w:hyperlink>
        </w:p>
        <w:p w14:paraId="58CFAA5D" w14:textId="452D7D3A" w:rsidR="00A1758C" w:rsidRDefault="00FB2629">
          <w:pPr>
            <w:pStyle w:val="TOC1"/>
            <w:rPr>
              <w:rFonts w:asciiTheme="minorHAnsi" w:eastAsiaTheme="minorEastAsia" w:hAnsiTheme="minorHAnsi" w:cstheme="minorBidi"/>
              <w:b w:val="0"/>
              <w:noProof/>
              <w:lang w:eastAsia="en-AU"/>
            </w:rPr>
          </w:pPr>
          <w:hyperlink w:anchor="_Toc61956218" w:history="1">
            <w:r w:rsidR="00A1758C" w:rsidRPr="009F558C">
              <w:rPr>
                <w:rStyle w:val="Hyperlink"/>
                <w:noProof/>
                <w:lang w:eastAsia="en-AU"/>
              </w:rPr>
              <w:t>8. Making a submission</w:t>
            </w:r>
            <w:r w:rsidR="00A1758C">
              <w:rPr>
                <w:noProof/>
                <w:webHidden/>
              </w:rPr>
              <w:tab/>
            </w:r>
            <w:r w:rsidR="00A1758C">
              <w:rPr>
                <w:noProof/>
                <w:webHidden/>
              </w:rPr>
              <w:fldChar w:fldCharType="begin"/>
            </w:r>
            <w:r w:rsidR="00A1758C">
              <w:rPr>
                <w:noProof/>
                <w:webHidden/>
              </w:rPr>
              <w:instrText xml:space="preserve"> PAGEREF _Toc61956218 \h </w:instrText>
            </w:r>
            <w:r w:rsidR="00A1758C">
              <w:rPr>
                <w:noProof/>
                <w:webHidden/>
              </w:rPr>
            </w:r>
            <w:r w:rsidR="00A1758C">
              <w:rPr>
                <w:noProof/>
                <w:webHidden/>
              </w:rPr>
              <w:fldChar w:fldCharType="separate"/>
            </w:r>
            <w:r w:rsidR="00A1758C">
              <w:rPr>
                <w:noProof/>
                <w:webHidden/>
              </w:rPr>
              <w:t>63</w:t>
            </w:r>
            <w:r w:rsidR="00A1758C">
              <w:rPr>
                <w:noProof/>
                <w:webHidden/>
              </w:rPr>
              <w:fldChar w:fldCharType="end"/>
            </w:r>
          </w:hyperlink>
        </w:p>
        <w:p w14:paraId="31C78EFF" w14:textId="735E7828" w:rsidR="00A1758C" w:rsidRDefault="00FB2629">
          <w:pPr>
            <w:pStyle w:val="TOC1"/>
            <w:rPr>
              <w:rFonts w:asciiTheme="minorHAnsi" w:eastAsiaTheme="minorEastAsia" w:hAnsiTheme="minorHAnsi" w:cstheme="minorBidi"/>
              <w:b w:val="0"/>
              <w:noProof/>
              <w:lang w:eastAsia="en-AU"/>
            </w:rPr>
          </w:pPr>
          <w:hyperlink w:anchor="_Toc61956219" w:history="1">
            <w:r w:rsidR="00A1758C" w:rsidRPr="009F558C">
              <w:rPr>
                <w:rStyle w:val="Hyperlink"/>
                <w:noProof/>
                <w:lang w:eastAsia="en-AU"/>
              </w:rPr>
              <w:t>Appendix 1 Essential System Services Concepts</w:t>
            </w:r>
            <w:r w:rsidR="00A1758C">
              <w:rPr>
                <w:noProof/>
                <w:webHidden/>
              </w:rPr>
              <w:tab/>
            </w:r>
            <w:r w:rsidR="00A1758C">
              <w:rPr>
                <w:noProof/>
                <w:webHidden/>
              </w:rPr>
              <w:fldChar w:fldCharType="begin"/>
            </w:r>
            <w:r w:rsidR="00A1758C">
              <w:rPr>
                <w:noProof/>
                <w:webHidden/>
              </w:rPr>
              <w:instrText xml:space="preserve"> PAGEREF _Toc61956219 \h </w:instrText>
            </w:r>
            <w:r w:rsidR="00A1758C">
              <w:rPr>
                <w:noProof/>
                <w:webHidden/>
              </w:rPr>
            </w:r>
            <w:r w:rsidR="00A1758C">
              <w:rPr>
                <w:noProof/>
                <w:webHidden/>
              </w:rPr>
              <w:fldChar w:fldCharType="separate"/>
            </w:r>
            <w:r w:rsidR="00A1758C">
              <w:rPr>
                <w:noProof/>
                <w:webHidden/>
              </w:rPr>
              <w:t>64</w:t>
            </w:r>
            <w:r w:rsidR="00A1758C">
              <w:rPr>
                <w:noProof/>
                <w:webHidden/>
              </w:rPr>
              <w:fldChar w:fldCharType="end"/>
            </w:r>
          </w:hyperlink>
        </w:p>
        <w:p w14:paraId="4FC5A4FA" w14:textId="22138530" w:rsidR="00A1758C" w:rsidRDefault="00FB2629">
          <w:pPr>
            <w:pStyle w:val="TOC2"/>
            <w:rPr>
              <w:rFonts w:asciiTheme="minorHAnsi" w:eastAsiaTheme="minorEastAsia" w:hAnsiTheme="minorHAnsi" w:cstheme="minorBidi"/>
              <w:noProof/>
              <w:lang w:eastAsia="en-AU"/>
            </w:rPr>
          </w:pPr>
          <w:hyperlink w:anchor="_Toc61956220" w:history="1">
            <w:r w:rsidR="00A1758C" w:rsidRPr="009F558C">
              <w:rPr>
                <w:rStyle w:val="Hyperlink"/>
                <w:noProof/>
                <w:lang w:eastAsia="en-AU"/>
              </w:rPr>
              <w:t>Frequency management</w:t>
            </w:r>
            <w:r w:rsidR="00A1758C">
              <w:rPr>
                <w:noProof/>
                <w:webHidden/>
              </w:rPr>
              <w:tab/>
            </w:r>
            <w:r w:rsidR="00A1758C">
              <w:rPr>
                <w:noProof/>
                <w:webHidden/>
              </w:rPr>
              <w:fldChar w:fldCharType="begin"/>
            </w:r>
            <w:r w:rsidR="00A1758C">
              <w:rPr>
                <w:noProof/>
                <w:webHidden/>
              </w:rPr>
              <w:instrText xml:space="preserve"> PAGEREF _Toc61956220 \h </w:instrText>
            </w:r>
            <w:r w:rsidR="00A1758C">
              <w:rPr>
                <w:noProof/>
                <w:webHidden/>
              </w:rPr>
            </w:r>
            <w:r w:rsidR="00A1758C">
              <w:rPr>
                <w:noProof/>
                <w:webHidden/>
              </w:rPr>
              <w:fldChar w:fldCharType="separate"/>
            </w:r>
            <w:r w:rsidR="00A1758C">
              <w:rPr>
                <w:noProof/>
                <w:webHidden/>
              </w:rPr>
              <w:t>64</w:t>
            </w:r>
            <w:r w:rsidR="00A1758C">
              <w:rPr>
                <w:noProof/>
                <w:webHidden/>
              </w:rPr>
              <w:fldChar w:fldCharType="end"/>
            </w:r>
          </w:hyperlink>
        </w:p>
        <w:p w14:paraId="6C56EA94" w14:textId="25BEA998" w:rsidR="00A1758C" w:rsidRDefault="00FB2629">
          <w:pPr>
            <w:pStyle w:val="TOC2"/>
            <w:rPr>
              <w:rFonts w:asciiTheme="minorHAnsi" w:eastAsiaTheme="minorEastAsia" w:hAnsiTheme="minorHAnsi" w:cstheme="minorBidi"/>
              <w:noProof/>
              <w:lang w:eastAsia="en-AU"/>
            </w:rPr>
          </w:pPr>
          <w:hyperlink w:anchor="_Toc61956221" w:history="1">
            <w:r w:rsidR="00A1758C" w:rsidRPr="009F558C">
              <w:rPr>
                <w:rStyle w:val="Hyperlink"/>
                <w:noProof/>
                <w:lang w:eastAsia="en-AU"/>
              </w:rPr>
              <w:t>Voltage management</w:t>
            </w:r>
            <w:r w:rsidR="00A1758C">
              <w:rPr>
                <w:noProof/>
                <w:webHidden/>
              </w:rPr>
              <w:tab/>
            </w:r>
            <w:r w:rsidR="00A1758C">
              <w:rPr>
                <w:noProof/>
                <w:webHidden/>
              </w:rPr>
              <w:fldChar w:fldCharType="begin"/>
            </w:r>
            <w:r w:rsidR="00A1758C">
              <w:rPr>
                <w:noProof/>
                <w:webHidden/>
              </w:rPr>
              <w:instrText xml:space="preserve"> PAGEREF _Toc61956221 \h </w:instrText>
            </w:r>
            <w:r w:rsidR="00A1758C">
              <w:rPr>
                <w:noProof/>
                <w:webHidden/>
              </w:rPr>
            </w:r>
            <w:r w:rsidR="00A1758C">
              <w:rPr>
                <w:noProof/>
                <w:webHidden/>
              </w:rPr>
              <w:fldChar w:fldCharType="separate"/>
            </w:r>
            <w:r w:rsidR="00A1758C">
              <w:rPr>
                <w:noProof/>
                <w:webHidden/>
              </w:rPr>
              <w:t>65</w:t>
            </w:r>
            <w:r w:rsidR="00A1758C">
              <w:rPr>
                <w:noProof/>
                <w:webHidden/>
              </w:rPr>
              <w:fldChar w:fldCharType="end"/>
            </w:r>
          </w:hyperlink>
        </w:p>
        <w:p w14:paraId="5D720ED9" w14:textId="2C29C358" w:rsidR="00A1758C" w:rsidRDefault="00FB2629">
          <w:pPr>
            <w:pStyle w:val="TOC2"/>
            <w:rPr>
              <w:rFonts w:asciiTheme="minorHAnsi" w:eastAsiaTheme="minorEastAsia" w:hAnsiTheme="minorHAnsi" w:cstheme="minorBidi"/>
              <w:noProof/>
              <w:lang w:eastAsia="en-AU"/>
            </w:rPr>
          </w:pPr>
          <w:hyperlink w:anchor="_Toc61956222" w:history="1">
            <w:r w:rsidR="00A1758C" w:rsidRPr="009F558C">
              <w:rPr>
                <w:rStyle w:val="Hyperlink"/>
                <w:noProof/>
                <w:lang w:eastAsia="en-AU"/>
              </w:rPr>
              <w:t>System restart</w:t>
            </w:r>
            <w:r w:rsidR="00A1758C">
              <w:rPr>
                <w:noProof/>
                <w:webHidden/>
              </w:rPr>
              <w:tab/>
            </w:r>
            <w:r w:rsidR="00A1758C">
              <w:rPr>
                <w:noProof/>
                <w:webHidden/>
              </w:rPr>
              <w:fldChar w:fldCharType="begin"/>
            </w:r>
            <w:r w:rsidR="00A1758C">
              <w:rPr>
                <w:noProof/>
                <w:webHidden/>
              </w:rPr>
              <w:instrText xml:space="preserve"> PAGEREF _Toc61956222 \h </w:instrText>
            </w:r>
            <w:r w:rsidR="00A1758C">
              <w:rPr>
                <w:noProof/>
                <w:webHidden/>
              </w:rPr>
            </w:r>
            <w:r w:rsidR="00A1758C">
              <w:rPr>
                <w:noProof/>
                <w:webHidden/>
              </w:rPr>
              <w:fldChar w:fldCharType="separate"/>
            </w:r>
            <w:r w:rsidR="00A1758C">
              <w:rPr>
                <w:noProof/>
                <w:webHidden/>
              </w:rPr>
              <w:t>66</w:t>
            </w:r>
            <w:r w:rsidR="00A1758C">
              <w:rPr>
                <w:noProof/>
                <w:webHidden/>
              </w:rPr>
              <w:fldChar w:fldCharType="end"/>
            </w:r>
          </w:hyperlink>
        </w:p>
        <w:p w14:paraId="7BB08800" w14:textId="5FE628AC" w:rsidR="00A1758C" w:rsidRDefault="00FB2629">
          <w:pPr>
            <w:pStyle w:val="TOC2"/>
            <w:rPr>
              <w:rFonts w:asciiTheme="minorHAnsi" w:eastAsiaTheme="minorEastAsia" w:hAnsiTheme="minorHAnsi" w:cstheme="minorBidi"/>
              <w:noProof/>
              <w:lang w:eastAsia="en-AU"/>
            </w:rPr>
          </w:pPr>
          <w:hyperlink w:anchor="_Toc61956223" w:history="1">
            <w:r w:rsidR="00A1758C" w:rsidRPr="009F558C">
              <w:rPr>
                <w:rStyle w:val="Hyperlink"/>
                <w:noProof/>
                <w:lang w:eastAsia="en-AU"/>
              </w:rPr>
              <w:t>System strength</w:t>
            </w:r>
            <w:r w:rsidR="00A1758C">
              <w:rPr>
                <w:noProof/>
                <w:webHidden/>
              </w:rPr>
              <w:tab/>
            </w:r>
            <w:r w:rsidR="00A1758C">
              <w:rPr>
                <w:noProof/>
                <w:webHidden/>
              </w:rPr>
              <w:fldChar w:fldCharType="begin"/>
            </w:r>
            <w:r w:rsidR="00A1758C">
              <w:rPr>
                <w:noProof/>
                <w:webHidden/>
              </w:rPr>
              <w:instrText xml:space="preserve"> PAGEREF _Toc61956223 \h </w:instrText>
            </w:r>
            <w:r w:rsidR="00A1758C">
              <w:rPr>
                <w:noProof/>
                <w:webHidden/>
              </w:rPr>
            </w:r>
            <w:r w:rsidR="00A1758C">
              <w:rPr>
                <w:noProof/>
                <w:webHidden/>
              </w:rPr>
              <w:fldChar w:fldCharType="separate"/>
            </w:r>
            <w:r w:rsidR="00A1758C">
              <w:rPr>
                <w:noProof/>
                <w:webHidden/>
              </w:rPr>
              <w:t>66</w:t>
            </w:r>
            <w:r w:rsidR="00A1758C">
              <w:rPr>
                <w:noProof/>
                <w:webHidden/>
              </w:rPr>
              <w:fldChar w:fldCharType="end"/>
            </w:r>
          </w:hyperlink>
        </w:p>
        <w:p w14:paraId="259C735D" w14:textId="1895CB9B" w:rsidR="00835208" w:rsidRDefault="00835208">
          <w:r>
            <w:fldChar w:fldCharType="end"/>
          </w:r>
        </w:p>
      </w:sdtContent>
    </w:sdt>
    <w:p w14:paraId="236DE7C1" w14:textId="77777777" w:rsidR="00964B22" w:rsidRPr="0021322F" w:rsidRDefault="00964B22" w:rsidP="0021322F">
      <w:pPr>
        <w:sectPr w:rsidR="00964B22" w:rsidRPr="0021322F" w:rsidSect="004E7885">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pPr>
    </w:p>
    <w:p w14:paraId="4AD3BD14" w14:textId="25AF0F5F" w:rsidR="00CB560D" w:rsidRPr="00CB560D" w:rsidRDefault="00CB560D" w:rsidP="00CB560D">
      <w:pPr>
        <w:pStyle w:val="Heading1"/>
        <w:rPr>
          <w:lang w:eastAsia="en-AU"/>
        </w:rPr>
      </w:pPr>
      <w:bookmarkStart w:id="0" w:name="_Toc61956182"/>
      <w:r w:rsidRPr="00CB560D">
        <w:rPr>
          <w:lang w:eastAsia="en-AU"/>
        </w:rPr>
        <w:lastRenderedPageBreak/>
        <w:t>Introduction</w:t>
      </w:r>
      <w:bookmarkEnd w:id="0"/>
    </w:p>
    <w:p w14:paraId="38098148" w14:textId="2625F207" w:rsidR="00D61E46" w:rsidRDefault="00CB560D" w:rsidP="00CB560D">
      <w:pPr>
        <w:rPr>
          <w:rFonts w:asciiTheme="minorHAnsi" w:hAnsiTheme="minorHAnsi" w:cs="Arial"/>
        </w:rPr>
      </w:pPr>
      <w:r w:rsidRPr="00CB560D">
        <w:rPr>
          <w:rFonts w:asciiTheme="minorHAnsi" w:hAnsiTheme="minorHAnsi" w:cs="Arial"/>
        </w:rPr>
        <w:t>The</w:t>
      </w:r>
      <w:r w:rsidR="004C5A9A">
        <w:rPr>
          <w:rFonts w:asciiTheme="minorHAnsi" w:hAnsiTheme="minorHAnsi" w:cs="Arial"/>
        </w:rPr>
        <w:t xml:space="preserve"> Northern Territory Government has identified </w:t>
      </w:r>
      <w:r w:rsidR="00D61E46">
        <w:rPr>
          <w:rFonts w:asciiTheme="minorHAnsi" w:hAnsiTheme="minorHAnsi" w:cs="Arial"/>
        </w:rPr>
        <w:t>reforms to the</w:t>
      </w:r>
      <w:r w:rsidR="000A6136">
        <w:rPr>
          <w:rFonts w:asciiTheme="minorHAnsi" w:hAnsiTheme="minorHAnsi" w:cs="Arial"/>
        </w:rPr>
        <w:t xml:space="preserve"> </w:t>
      </w:r>
      <w:r w:rsidR="00D61E46">
        <w:rPr>
          <w:rFonts w:asciiTheme="minorHAnsi" w:hAnsiTheme="minorHAnsi" w:cs="Arial"/>
        </w:rPr>
        <w:t xml:space="preserve">arrangements for the provision of </w:t>
      </w:r>
      <w:r w:rsidR="001644F8">
        <w:rPr>
          <w:rFonts w:asciiTheme="minorHAnsi" w:hAnsiTheme="minorHAnsi" w:cs="Arial"/>
        </w:rPr>
        <w:t>essential system services</w:t>
      </w:r>
      <w:r w:rsidR="00D61E46">
        <w:rPr>
          <w:rFonts w:asciiTheme="minorHAnsi" w:hAnsiTheme="minorHAnsi" w:cs="Arial"/>
        </w:rPr>
        <w:t xml:space="preserve"> in its Northern Territory Electricity Market</w:t>
      </w:r>
      <w:r w:rsidR="005208EA">
        <w:rPr>
          <w:rFonts w:asciiTheme="minorHAnsi" w:hAnsiTheme="minorHAnsi" w:cs="Arial"/>
        </w:rPr>
        <w:t xml:space="preserve"> (NTEM)</w:t>
      </w:r>
      <w:r w:rsidR="00D61E46">
        <w:rPr>
          <w:rFonts w:asciiTheme="minorHAnsi" w:hAnsiTheme="minorHAnsi" w:cs="Arial"/>
        </w:rPr>
        <w:t xml:space="preserve"> Priority Reform </w:t>
      </w:r>
      <w:r w:rsidR="00985A35">
        <w:rPr>
          <w:rFonts w:asciiTheme="minorHAnsi" w:hAnsiTheme="minorHAnsi" w:cs="Arial"/>
        </w:rPr>
        <w:t>Program</w:t>
      </w:r>
      <w:r w:rsidR="000A6136">
        <w:rPr>
          <w:rStyle w:val="FootnoteReference"/>
          <w:rFonts w:asciiTheme="minorHAnsi" w:hAnsiTheme="minorHAnsi" w:cs="Arial"/>
        </w:rPr>
        <w:footnoteReference w:id="2"/>
      </w:r>
      <w:r w:rsidR="00736045">
        <w:rPr>
          <w:rFonts w:asciiTheme="minorHAnsi" w:hAnsiTheme="minorHAnsi" w:cs="Arial"/>
        </w:rPr>
        <w:t>.</w:t>
      </w:r>
    </w:p>
    <w:p w14:paraId="36781647" w14:textId="390A2973" w:rsidR="00CB560D" w:rsidRPr="00CB560D" w:rsidRDefault="00CB560D" w:rsidP="00CB560D">
      <w:pPr>
        <w:rPr>
          <w:rFonts w:asciiTheme="minorHAnsi" w:hAnsiTheme="minorHAnsi" w:cs="Arial"/>
        </w:rPr>
      </w:pPr>
      <w:r w:rsidRPr="00CB560D">
        <w:rPr>
          <w:rFonts w:asciiTheme="minorHAnsi" w:hAnsiTheme="minorHAnsi" w:cs="Arial"/>
        </w:rPr>
        <w:t>With the growing uptake of utility scale and behind-the-meter solar PV</w:t>
      </w:r>
      <w:r w:rsidR="000A6136">
        <w:rPr>
          <w:rFonts w:asciiTheme="minorHAnsi" w:hAnsiTheme="minorHAnsi" w:cs="Arial"/>
        </w:rPr>
        <w:t xml:space="preserve"> and emergence of new technologies capable of providing </w:t>
      </w:r>
      <w:r w:rsidR="001644F8">
        <w:rPr>
          <w:rFonts w:asciiTheme="minorHAnsi" w:hAnsiTheme="minorHAnsi" w:cs="Arial"/>
        </w:rPr>
        <w:t>essential system services</w:t>
      </w:r>
      <w:r w:rsidRPr="00CB560D">
        <w:rPr>
          <w:rFonts w:asciiTheme="minorHAnsi" w:hAnsiTheme="minorHAnsi" w:cs="Arial"/>
        </w:rPr>
        <w:t xml:space="preserve">, it is timely for </w:t>
      </w:r>
      <w:r w:rsidR="000A6136">
        <w:rPr>
          <w:rFonts w:asciiTheme="minorHAnsi" w:hAnsiTheme="minorHAnsi" w:cs="Arial"/>
        </w:rPr>
        <w:t xml:space="preserve">the </w:t>
      </w:r>
      <w:r w:rsidRPr="00CB560D">
        <w:rPr>
          <w:rFonts w:asciiTheme="minorHAnsi" w:hAnsiTheme="minorHAnsi" w:cs="Arial"/>
        </w:rPr>
        <w:t>arrangements</w:t>
      </w:r>
      <w:r w:rsidR="009D1630">
        <w:rPr>
          <w:rFonts w:asciiTheme="minorHAnsi" w:hAnsiTheme="minorHAnsi" w:cs="Arial"/>
        </w:rPr>
        <w:t xml:space="preserve"> on the NT regulated systems </w:t>
      </w:r>
      <w:r w:rsidR="009D1630" w:rsidRPr="009A2EBB">
        <w:rPr>
          <w:rFonts w:asciiTheme="minorHAnsi" w:hAnsiTheme="minorHAnsi" w:cs="Arial"/>
        </w:rPr>
        <w:t>(Darwin-Katherine, A</w:t>
      </w:r>
      <w:r w:rsidR="009D1630">
        <w:rPr>
          <w:rFonts w:asciiTheme="minorHAnsi" w:hAnsiTheme="minorHAnsi" w:cs="Arial"/>
        </w:rPr>
        <w:t>lice Springs and Tennant Creek)</w:t>
      </w:r>
      <w:r w:rsidRPr="00CB560D">
        <w:rPr>
          <w:rFonts w:asciiTheme="minorHAnsi" w:hAnsiTheme="minorHAnsi" w:cs="Arial"/>
        </w:rPr>
        <w:t xml:space="preserve"> to </w:t>
      </w:r>
      <w:r w:rsidRPr="00A11265">
        <w:rPr>
          <w:rFonts w:asciiTheme="minorHAnsi" w:hAnsiTheme="minorHAnsi" w:cs="Arial"/>
        </w:rPr>
        <w:t xml:space="preserve">be reviewed to ensure that </w:t>
      </w:r>
      <w:r w:rsidR="00213F00" w:rsidRPr="00A11265">
        <w:rPr>
          <w:rFonts w:asciiTheme="minorHAnsi" w:hAnsiTheme="minorHAnsi" w:cs="Arial"/>
        </w:rPr>
        <w:t>the</w:t>
      </w:r>
      <w:r w:rsidR="005518D7">
        <w:rPr>
          <w:rFonts w:asciiTheme="minorHAnsi" w:hAnsiTheme="minorHAnsi" w:cs="Arial"/>
        </w:rPr>
        <w:t xml:space="preserve"> delivery of essential system services</w:t>
      </w:r>
      <w:r w:rsidRPr="00A11265">
        <w:rPr>
          <w:rFonts w:asciiTheme="minorHAnsi" w:hAnsiTheme="minorHAnsi" w:cs="Arial"/>
        </w:rPr>
        <w:t xml:space="preserve"> delivery </w:t>
      </w:r>
      <w:r w:rsidR="000A6136" w:rsidRPr="00A11265">
        <w:rPr>
          <w:rFonts w:asciiTheme="minorHAnsi" w:hAnsiTheme="minorHAnsi" w:cs="Arial"/>
        </w:rPr>
        <w:t>is</w:t>
      </w:r>
      <w:r w:rsidRPr="00A11265">
        <w:rPr>
          <w:rFonts w:asciiTheme="minorHAnsi" w:hAnsiTheme="minorHAnsi" w:cs="Arial"/>
        </w:rPr>
        <w:t xml:space="preserve"> efficient</w:t>
      </w:r>
      <w:r w:rsidR="00213F00" w:rsidRPr="00A11265">
        <w:rPr>
          <w:rFonts w:asciiTheme="minorHAnsi" w:hAnsiTheme="minorHAnsi" w:cs="Arial"/>
        </w:rPr>
        <w:t xml:space="preserve"> and meets consumer expectations</w:t>
      </w:r>
      <w:r w:rsidRPr="00A11265">
        <w:rPr>
          <w:rFonts w:asciiTheme="minorHAnsi" w:hAnsiTheme="minorHAnsi" w:cs="Arial"/>
        </w:rPr>
        <w:t>.</w:t>
      </w:r>
    </w:p>
    <w:p w14:paraId="37FB6BE6" w14:textId="537BAB76" w:rsidR="00CB560D" w:rsidRPr="00CB560D" w:rsidRDefault="00CB560D" w:rsidP="00CB560D">
      <w:pPr>
        <w:rPr>
          <w:rFonts w:asciiTheme="minorHAnsi" w:hAnsiTheme="minorHAnsi" w:cs="Arial"/>
        </w:rPr>
      </w:pPr>
      <w:r w:rsidRPr="00CB560D">
        <w:rPr>
          <w:rFonts w:asciiTheme="minorHAnsi" w:hAnsiTheme="minorHAnsi" w:cs="Arial"/>
        </w:rPr>
        <w:t>Re</w:t>
      </w:r>
      <w:r w:rsidR="00CD7168">
        <w:rPr>
          <w:rFonts w:asciiTheme="minorHAnsi" w:hAnsiTheme="minorHAnsi" w:cs="Arial"/>
        </w:rPr>
        <w:t>forming</w:t>
      </w:r>
      <w:r w:rsidRPr="00CB560D">
        <w:rPr>
          <w:rFonts w:asciiTheme="minorHAnsi" w:hAnsiTheme="minorHAnsi" w:cs="Arial"/>
        </w:rPr>
        <w:t xml:space="preserve"> the </w:t>
      </w:r>
      <w:r w:rsidR="001644F8">
        <w:rPr>
          <w:rFonts w:asciiTheme="minorHAnsi" w:hAnsiTheme="minorHAnsi" w:cs="Arial"/>
        </w:rPr>
        <w:t>essential system services</w:t>
      </w:r>
      <w:r w:rsidRPr="00CB560D">
        <w:rPr>
          <w:rFonts w:asciiTheme="minorHAnsi" w:hAnsiTheme="minorHAnsi" w:cs="Arial"/>
        </w:rPr>
        <w:t xml:space="preserve"> arrangements </w:t>
      </w:r>
      <w:r w:rsidR="00CD7168">
        <w:rPr>
          <w:rFonts w:asciiTheme="minorHAnsi" w:hAnsiTheme="minorHAnsi" w:cs="Arial"/>
        </w:rPr>
        <w:t>is</w:t>
      </w:r>
      <w:r w:rsidRPr="00CB560D">
        <w:rPr>
          <w:rFonts w:asciiTheme="minorHAnsi" w:hAnsiTheme="minorHAnsi" w:cs="Arial"/>
        </w:rPr>
        <w:t xml:space="preserve"> a complex process and require</w:t>
      </w:r>
      <w:r w:rsidR="001644F8">
        <w:rPr>
          <w:rFonts w:asciiTheme="minorHAnsi" w:hAnsiTheme="minorHAnsi" w:cs="Arial"/>
        </w:rPr>
        <w:t>s</w:t>
      </w:r>
      <w:r w:rsidRPr="00CB560D">
        <w:rPr>
          <w:rFonts w:asciiTheme="minorHAnsi" w:hAnsiTheme="minorHAnsi" w:cs="Arial"/>
        </w:rPr>
        <w:t xml:space="preserve"> careful coordination with other reforms being </w:t>
      </w:r>
      <w:r w:rsidR="00CD7168">
        <w:rPr>
          <w:rFonts w:asciiTheme="minorHAnsi" w:hAnsiTheme="minorHAnsi" w:cs="Arial"/>
        </w:rPr>
        <w:t>implemented</w:t>
      </w:r>
      <w:r w:rsidRPr="00CB560D">
        <w:rPr>
          <w:rFonts w:asciiTheme="minorHAnsi" w:hAnsiTheme="minorHAnsi" w:cs="Arial"/>
        </w:rPr>
        <w:t xml:space="preserve"> as part of the </w:t>
      </w:r>
      <w:r w:rsidR="00D25903">
        <w:rPr>
          <w:rFonts w:asciiTheme="minorHAnsi" w:hAnsiTheme="minorHAnsi" w:cs="Arial"/>
        </w:rPr>
        <w:t>Priority Reform Program</w:t>
      </w:r>
      <w:r w:rsidRPr="00CB560D">
        <w:rPr>
          <w:rFonts w:asciiTheme="minorHAnsi" w:hAnsiTheme="minorHAnsi" w:cs="Arial"/>
        </w:rPr>
        <w:t>.</w:t>
      </w:r>
    </w:p>
    <w:p w14:paraId="358F819A" w14:textId="767BDD91" w:rsidR="00E35F9E" w:rsidRPr="00CB560D" w:rsidRDefault="00CB560D" w:rsidP="00CB560D">
      <w:pPr>
        <w:rPr>
          <w:rFonts w:asciiTheme="minorHAnsi" w:hAnsiTheme="minorHAnsi" w:cs="Arial"/>
        </w:rPr>
      </w:pPr>
      <w:r w:rsidRPr="00CB560D">
        <w:rPr>
          <w:rFonts w:asciiTheme="minorHAnsi" w:hAnsiTheme="minorHAnsi" w:cs="Arial"/>
        </w:rPr>
        <w:t xml:space="preserve">This paper </w:t>
      </w:r>
      <w:r w:rsidR="00CD7168">
        <w:rPr>
          <w:rFonts w:asciiTheme="minorHAnsi" w:hAnsiTheme="minorHAnsi" w:cs="Arial"/>
        </w:rPr>
        <w:t>presents</w:t>
      </w:r>
      <w:r w:rsidRPr="00CB560D">
        <w:rPr>
          <w:rFonts w:asciiTheme="minorHAnsi" w:hAnsiTheme="minorHAnsi" w:cs="Arial"/>
        </w:rPr>
        <w:t xml:space="preserve"> the </w:t>
      </w:r>
      <w:r w:rsidR="00D25903">
        <w:rPr>
          <w:rFonts w:asciiTheme="minorHAnsi" w:hAnsiTheme="minorHAnsi" w:cs="Arial"/>
        </w:rPr>
        <w:t>Design Development Team</w:t>
      </w:r>
      <w:r w:rsidR="00736045">
        <w:rPr>
          <w:rFonts w:asciiTheme="minorHAnsi" w:hAnsiTheme="minorHAnsi" w:cs="Arial"/>
        </w:rPr>
        <w:t>’s</w:t>
      </w:r>
      <w:r w:rsidRPr="00CB560D">
        <w:rPr>
          <w:rFonts w:asciiTheme="minorHAnsi" w:hAnsiTheme="minorHAnsi" w:cs="Arial"/>
        </w:rPr>
        <w:t xml:space="preserve"> </w:t>
      </w:r>
      <w:r w:rsidR="00CD7168">
        <w:rPr>
          <w:rFonts w:asciiTheme="minorHAnsi" w:hAnsiTheme="minorHAnsi" w:cs="Arial"/>
        </w:rPr>
        <w:t xml:space="preserve">draft </w:t>
      </w:r>
      <w:r w:rsidR="001644F8">
        <w:rPr>
          <w:rFonts w:asciiTheme="minorHAnsi" w:hAnsiTheme="minorHAnsi" w:cs="Arial"/>
        </w:rPr>
        <w:t xml:space="preserve">position </w:t>
      </w:r>
      <w:r w:rsidR="00CD7168">
        <w:rPr>
          <w:rFonts w:asciiTheme="minorHAnsi" w:hAnsiTheme="minorHAnsi" w:cs="Arial"/>
        </w:rPr>
        <w:t xml:space="preserve">for </w:t>
      </w:r>
      <w:r w:rsidRPr="00CB560D">
        <w:rPr>
          <w:rFonts w:asciiTheme="minorHAnsi" w:hAnsiTheme="minorHAnsi" w:cs="Arial"/>
        </w:rPr>
        <w:t>stakeholder feedback and advice</w:t>
      </w:r>
      <w:bookmarkStart w:id="1" w:name="_Toc57813115"/>
      <w:bookmarkStart w:id="2" w:name="_Toc57813253"/>
      <w:bookmarkStart w:id="3" w:name="_Toc57813391"/>
      <w:bookmarkStart w:id="4" w:name="_Toc57889164"/>
      <w:bookmarkStart w:id="5" w:name="_Toc57997867"/>
      <w:bookmarkStart w:id="6" w:name="_Toc58068033"/>
      <w:bookmarkEnd w:id="1"/>
      <w:bookmarkEnd w:id="2"/>
      <w:bookmarkEnd w:id="3"/>
      <w:bookmarkEnd w:id="4"/>
      <w:bookmarkEnd w:id="5"/>
      <w:bookmarkEnd w:id="6"/>
      <w:r w:rsidR="00192E08">
        <w:rPr>
          <w:rFonts w:asciiTheme="minorHAnsi" w:hAnsiTheme="minorHAnsi" w:cs="Arial"/>
        </w:rPr>
        <w:t>.</w:t>
      </w:r>
    </w:p>
    <w:p w14:paraId="66AA5C07" w14:textId="625AC238" w:rsidR="00CB560D" w:rsidRPr="00CB560D" w:rsidRDefault="00CB560D" w:rsidP="00CB560D">
      <w:pPr>
        <w:pStyle w:val="Heading2"/>
        <w:keepNext/>
        <w:rPr>
          <w:lang w:eastAsia="en-AU"/>
        </w:rPr>
      </w:pPr>
      <w:bookmarkStart w:id="7" w:name="_Toc61956183"/>
      <w:r w:rsidRPr="00CB560D">
        <w:rPr>
          <w:lang w:eastAsia="en-AU"/>
        </w:rPr>
        <w:t xml:space="preserve">Overview of </w:t>
      </w:r>
      <w:r w:rsidR="00BF70FC">
        <w:rPr>
          <w:lang w:eastAsia="en-AU"/>
        </w:rPr>
        <w:t>c</w:t>
      </w:r>
      <w:r w:rsidRPr="00CB560D">
        <w:rPr>
          <w:lang w:eastAsia="en-AU"/>
        </w:rPr>
        <w:t xml:space="preserve">urrent </w:t>
      </w:r>
      <w:r w:rsidR="00BF70FC">
        <w:rPr>
          <w:lang w:eastAsia="en-AU"/>
        </w:rPr>
        <w:t>a</w:t>
      </w:r>
      <w:r w:rsidRPr="00CB560D">
        <w:rPr>
          <w:lang w:eastAsia="en-AU"/>
        </w:rPr>
        <w:t>rrangements</w:t>
      </w:r>
      <w:bookmarkEnd w:id="7"/>
    </w:p>
    <w:p w14:paraId="64BAECB7" w14:textId="6406E6F6" w:rsidR="00740E66" w:rsidRPr="00CB560D" w:rsidRDefault="00AB01BC" w:rsidP="00740E66">
      <w:pPr>
        <w:rPr>
          <w:rFonts w:asciiTheme="minorHAnsi" w:hAnsiTheme="minorHAnsi" w:cs="Arial"/>
        </w:rPr>
      </w:pPr>
      <w:r>
        <w:rPr>
          <w:rFonts w:asciiTheme="minorHAnsi" w:hAnsiTheme="minorHAnsi" w:cs="Arial"/>
        </w:rPr>
        <w:t xml:space="preserve">Essential system services </w:t>
      </w:r>
      <w:r w:rsidR="00740E66" w:rsidRPr="00CB560D">
        <w:rPr>
          <w:rFonts w:asciiTheme="minorHAnsi" w:hAnsiTheme="minorHAnsi" w:cs="Arial"/>
        </w:rPr>
        <w:t xml:space="preserve">(also commonly referred to as </w:t>
      </w:r>
      <w:r w:rsidR="00213F00">
        <w:rPr>
          <w:rFonts w:asciiTheme="minorHAnsi" w:hAnsiTheme="minorHAnsi" w:cs="Arial"/>
        </w:rPr>
        <w:t>a</w:t>
      </w:r>
      <w:r w:rsidR="00740E66" w:rsidRPr="00CB560D">
        <w:rPr>
          <w:rFonts w:asciiTheme="minorHAnsi" w:hAnsiTheme="minorHAnsi" w:cs="Arial"/>
        </w:rPr>
        <w:t xml:space="preserve">ncillary </w:t>
      </w:r>
      <w:r w:rsidR="00213F00">
        <w:rPr>
          <w:rFonts w:asciiTheme="minorHAnsi" w:hAnsiTheme="minorHAnsi" w:cs="Arial"/>
        </w:rPr>
        <w:t>s</w:t>
      </w:r>
      <w:r w:rsidR="00740E66" w:rsidRPr="00CB560D">
        <w:rPr>
          <w:rFonts w:asciiTheme="minorHAnsi" w:hAnsiTheme="minorHAnsi" w:cs="Arial"/>
        </w:rPr>
        <w:t>ervices) are required in addition to the supply of energy, to support the power system to produce, transmit and distribute power of acceptable quality to consumers and continuously maintain the demand/supply balance during normal and abnormal system conditions.</w:t>
      </w:r>
    </w:p>
    <w:p w14:paraId="72181353" w14:textId="4A0DEC7D" w:rsidR="00740E66" w:rsidRPr="00CB560D" w:rsidRDefault="00213F00" w:rsidP="00412523">
      <w:pPr>
        <w:rPr>
          <w:rFonts w:asciiTheme="minorHAnsi" w:hAnsiTheme="minorHAnsi" w:cs="Arial"/>
        </w:rPr>
      </w:pPr>
      <w:r>
        <w:rPr>
          <w:rFonts w:asciiTheme="minorHAnsi" w:hAnsiTheme="minorHAnsi" w:cs="Arial"/>
        </w:rPr>
        <w:t>Essential system services</w:t>
      </w:r>
      <w:r w:rsidR="00740E66" w:rsidRPr="00CB560D">
        <w:rPr>
          <w:rFonts w:asciiTheme="minorHAnsi" w:hAnsiTheme="minorHAnsi" w:cs="Arial"/>
        </w:rPr>
        <w:t xml:space="preserve"> can be defined</w:t>
      </w:r>
      <w:r w:rsidR="00740E66">
        <w:rPr>
          <w:rFonts w:asciiTheme="minorHAnsi" w:hAnsiTheme="minorHAnsi" w:cs="Arial"/>
        </w:rPr>
        <w:t xml:space="preserve"> in</w:t>
      </w:r>
      <w:r w:rsidR="00740E66" w:rsidRPr="00CB560D">
        <w:rPr>
          <w:rFonts w:asciiTheme="minorHAnsi" w:hAnsiTheme="minorHAnsi" w:cs="Arial"/>
        </w:rPr>
        <w:t xml:space="preserve"> a number of ways but</w:t>
      </w:r>
      <w:r w:rsidR="00740E66">
        <w:rPr>
          <w:rFonts w:asciiTheme="minorHAnsi" w:hAnsiTheme="minorHAnsi" w:cs="Arial"/>
        </w:rPr>
        <w:t xml:space="preserve"> generally fall into </w:t>
      </w:r>
      <w:r w:rsidR="00522241">
        <w:rPr>
          <w:rFonts w:asciiTheme="minorHAnsi" w:hAnsiTheme="minorHAnsi" w:cs="Arial"/>
        </w:rPr>
        <w:t xml:space="preserve">three </w:t>
      </w:r>
      <w:r w:rsidR="00740E66" w:rsidRPr="00CB560D">
        <w:rPr>
          <w:rFonts w:asciiTheme="minorHAnsi" w:hAnsiTheme="minorHAnsi" w:cs="Arial"/>
        </w:rPr>
        <w:t xml:space="preserve">broad categories. </w:t>
      </w:r>
    </w:p>
    <w:p w14:paraId="20AA581B" w14:textId="1336481C" w:rsidR="00740E66" w:rsidRPr="0099483B" w:rsidRDefault="00740E66" w:rsidP="00412523">
      <w:pPr>
        <w:pStyle w:val="z1BodyTextIn"/>
        <w:keepLines w:val="0"/>
        <w:numPr>
          <w:ilvl w:val="0"/>
          <w:numId w:val="10"/>
        </w:numPr>
        <w:spacing w:before="0" w:after="200"/>
        <w:ind w:left="357" w:hanging="357"/>
        <w:jc w:val="left"/>
        <w:rPr>
          <w:rFonts w:ascii="Lato" w:eastAsia="Calibri" w:hAnsi="Lato" w:cs="Arial"/>
          <w:sz w:val="22"/>
          <w:szCs w:val="22"/>
        </w:rPr>
      </w:pPr>
      <w:r w:rsidRPr="00CB560D">
        <w:rPr>
          <w:rFonts w:ascii="Lato" w:eastAsia="Calibri" w:hAnsi="Lato" w:cs="Arial"/>
          <w:i/>
          <w:sz w:val="22"/>
          <w:szCs w:val="22"/>
        </w:rPr>
        <w:t xml:space="preserve">Frequency </w:t>
      </w:r>
      <w:r w:rsidR="005518D7">
        <w:rPr>
          <w:rFonts w:ascii="Lato" w:eastAsia="Calibri" w:hAnsi="Lato" w:cs="Arial"/>
          <w:i/>
          <w:sz w:val="22"/>
          <w:szCs w:val="22"/>
        </w:rPr>
        <w:t>m</w:t>
      </w:r>
      <w:r w:rsidRPr="0099483B">
        <w:rPr>
          <w:rFonts w:ascii="Lato" w:eastAsia="Calibri" w:hAnsi="Lato" w:cs="Arial"/>
          <w:i/>
          <w:sz w:val="22"/>
          <w:szCs w:val="22"/>
        </w:rPr>
        <w:t>anagement</w:t>
      </w:r>
      <w:r w:rsidR="005412F9" w:rsidRPr="0099483B">
        <w:rPr>
          <w:rFonts w:ascii="Lato" w:eastAsia="Calibri" w:hAnsi="Lato" w:cs="Arial"/>
          <w:sz w:val="22"/>
          <w:szCs w:val="22"/>
        </w:rPr>
        <w:t xml:space="preserve"> </w:t>
      </w:r>
      <w:r w:rsidR="0099483B" w:rsidRPr="00F51F16">
        <w:rPr>
          <w:rFonts w:ascii="Lato" w:eastAsia="Calibri" w:hAnsi="Lato" w:cs="Arial"/>
          <w:sz w:val="22"/>
          <w:szCs w:val="22"/>
        </w:rPr>
        <w:t>—</w:t>
      </w:r>
      <w:r w:rsidR="005412F9" w:rsidRPr="0099483B">
        <w:rPr>
          <w:rFonts w:ascii="Lato" w:eastAsia="Calibri" w:hAnsi="Lato" w:cs="Arial"/>
          <w:sz w:val="22"/>
          <w:szCs w:val="22"/>
        </w:rPr>
        <w:t xml:space="preserve"> </w:t>
      </w:r>
      <w:r w:rsidRPr="0099483B">
        <w:rPr>
          <w:rFonts w:ascii="Lato" w:eastAsia="Calibri" w:hAnsi="Lato" w:cs="Arial"/>
          <w:sz w:val="22"/>
          <w:szCs w:val="22"/>
        </w:rPr>
        <w:t xml:space="preserve">to maintain power frequency within acceptable standards at all times. </w:t>
      </w:r>
    </w:p>
    <w:p w14:paraId="4202CE83" w14:textId="0B18991E" w:rsidR="00740E66" w:rsidRPr="0099483B" w:rsidRDefault="00740E66" w:rsidP="00412523">
      <w:pPr>
        <w:pStyle w:val="z1BodyTextIn"/>
        <w:keepLines w:val="0"/>
        <w:numPr>
          <w:ilvl w:val="0"/>
          <w:numId w:val="10"/>
        </w:numPr>
        <w:spacing w:before="0" w:after="200"/>
        <w:ind w:left="357" w:hanging="357"/>
        <w:jc w:val="left"/>
        <w:rPr>
          <w:rFonts w:ascii="Lato" w:eastAsia="Calibri" w:hAnsi="Lato" w:cs="Arial"/>
          <w:sz w:val="22"/>
          <w:szCs w:val="22"/>
        </w:rPr>
      </w:pPr>
      <w:r w:rsidRPr="0099483B">
        <w:rPr>
          <w:rFonts w:ascii="Lato" w:eastAsia="Calibri" w:hAnsi="Lato" w:cs="Arial"/>
          <w:i/>
          <w:sz w:val="22"/>
          <w:szCs w:val="22"/>
        </w:rPr>
        <w:t xml:space="preserve">Voltage </w:t>
      </w:r>
      <w:r w:rsidR="005518D7">
        <w:rPr>
          <w:rFonts w:ascii="Lato" w:eastAsia="Calibri" w:hAnsi="Lato" w:cs="Arial"/>
          <w:i/>
          <w:sz w:val="22"/>
          <w:szCs w:val="22"/>
        </w:rPr>
        <w:t>m</w:t>
      </w:r>
      <w:r w:rsidRPr="0099483B">
        <w:rPr>
          <w:rFonts w:ascii="Lato" w:eastAsia="Calibri" w:hAnsi="Lato" w:cs="Arial"/>
          <w:i/>
          <w:sz w:val="22"/>
          <w:szCs w:val="22"/>
        </w:rPr>
        <w:t>anagement</w:t>
      </w:r>
      <w:r w:rsidRPr="0099483B">
        <w:rPr>
          <w:rFonts w:ascii="Lato" w:eastAsia="Calibri" w:hAnsi="Lato" w:cs="Arial"/>
          <w:sz w:val="22"/>
          <w:szCs w:val="22"/>
        </w:rPr>
        <w:t xml:space="preserve"> </w:t>
      </w:r>
      <w:r w:rsidR="0099483B" w:rsidRPr="00F51F16">
        <w:rPr>
          <w:rFonts w:ascii="Lato" w:eastAsia="Calibri" w:hAnsi="Lato" w:cs="Arial"/>
          <w:sz w:val="22"/>
          <w:szCs w:val="22"/>
        </w:rPr>
        <w:t>—</w:t>
      </w:r>
      <w:r w:rsidRPr="0099483B">
        <w:rPr>
          <w:rFonts w:ascii="Lato" w:eastAsia="Calibri" w:hAnsi="Lato" w:cs="Arial"/>
          <w:sz w:val="22"/>
          <w:szCs w:val="22"/>
        </w:rPr>
        <w:t xml:space="preserve"> to manage voltages at different points of the network</w:t>
      </w:r>
      <w:r w:rsidR="00F74018">
        <w:rPr>
          <w:rFonts w:ascii="Lato" w:eastAsia="Calibri" w:hAnsi="Lato" w:cs="Arial"/>
          <w:sz w:val="22"/>
          <w:szCs w:val="22"/>
        </w:rPr>
        <w:t xml:space="preserve"> </w:t>
      </w:r>
      <w:r w:rsidRPr="0099483B">
        <w:rPr>
          <w:rFonts w:ascii="Lato" w:eastAsia="Calibri" w:hAnsi="Lato" w:cs="Arial"/>
          <w:sz w:val="22"/>
          <w:szCs w:val="22"/>
        </w:rPr>
        <w:t>and maintain stability following disturbances.</w:t>
      </w:r>
    </w:p>
    <w:p w14:paraId="00B9551B" w14:textId="49B6C0EE" w:rsidR="00740E66" w:rsidRDefault="00740E66" w:rsidP="00412523">
      <w:pPr>
        <w:pStyle w:val="z1BodyTextIn"/>
        <w:keepLines w:val="0"/>
        <w:numPr>
          <w:ilvl w:val="0"/>
          <w:numId w:val="10"/>
        </w:numPr>
        <w:spacing w:before="0" w:after="200"/>
        <w:ind w:left="357" w:hanging="357"/>
        <w:jc w:val="left"/>
        <w:rPr>
          <w:rFonts w:ascii="Lato" w:eastAsia="Calibri" w:hAnsi="Lato" w:cs="Arial"/>
          <w:sz w:val="22"/>
          <w:szCs w:val="22"/>
        </w:rPr>
      </w:pPr>
      <w:r w:rsidRPr="0099483B">
        <w:rPr>
          <w:rFonts w:ascii="Lato" w:eastAsia="Calibri" w:hAnsi="Lato" w:cs="Arial"/>
          <w:i/>
          <w:sz w:val="22"/>
          <w:szCs w:val="22"/>
        </w:rPr>
        <w:t xml:space="preserve">Restart </w:t>
      </w:r>
      <w:r w:rsidR="005518D7">
        <w:rPr>
          <w:rFonts w:ascii="Lato" w:eastAsia="Calibri" w:hAnsi="Lato" w:cs="Arial"/>
          <w:i/>
          <w:sz w:val="22"/>
          <w:szCs w:val="22"/>
        </w:rPr>
        <w:t>s</w:t>
      </w:r>
      <w:r w:rsidRPr="0099483B">
        <w:rPr>
          <w:rFonts w:ascii="Lato" w:eastAsia="Calibri" w:hAnsi="Lato" w:cs="Arial"/>
          <w:i/>
          <w:sz w:val="22"/>
          <w:szCs w:val="22"/>
        </w:rPr>
        <w:t>ervices</w:t>
      </w:r>
      <w:r w:rsidRPr="0099483B">
        <w:rPr>
          <w:rFonts w:ascii="Lato" w:eastAsia="Calibri" w:hAnsi="Lato" w:cs="Arial"/>
          <w:sz w:val="22"/>
          <w:szCs w:val="22"/>
        </w:rPr>
        <w:t xml:space="preserve"> </w:t>
      </w:r>
      <w:r w:rsidR="0099483B" w:rsidRPr="00F51F16">
        <w:rPr>
          <w:rFonts w:ascii="Lato" w:eastAsia="Calibri" w:hAnsi="Lato" w:cs="Arial"/>
          <w:sz w:val="22"/>
          <w:szCs w:val="22"/>
        </w:rPr>
        <w:t>—</w:t>
      </w:r>
      <w:r w:rsidRPr="0099483B">
        <w:rPr>
          <w:rFonts w:ascii="Lato" w:eastAsia="Calibri" w:hAnsi="Lato" w:cs="Arial"/>
          <w:sz w:val="22"/>
          <w:szCs w:val="22"/>
        </w:rPr>
        <w:t xml:space="preserve"> to</w:t>
      </w:r>
      <w:r w:rsidRPr="00CB560D">
        <w:rPr>
          <w:rFonts w:ascii="Lato" w:eastAsia="Calibri" w:hAnsi="Lato" w:cs="Arial"/>
          <w:sz w:val="22"/>
          <w:szCs w:val="22"/>
        </w:rPr>
        <w:t xml:space="preserve"> re-establish the power system following a significant event that has resulted in complete (or significant partial) system blackout. </w:t>
      </w:r>
    </w:p>
    <w:p w14:paraId="6102944B" w14:textId="180DAFAF" w:rsidR="00740E66" w:rsidRPr="00CB560D" w:rsidRDefault="00740E66" w:rsidP="00412523">
      <w:pPr>
        <w:rPr>
          <w:rFonts w:asciiTheme="minorHAnsi" w:hAnsiTheme="minorHAnsi" w:cs="Arial"/>
        </w:rPr>
      </w:pPr>
      <w:r w:rsidRPr="00CB560D">
        <w:rPr>
          <w:rFonts w:asciiTheme="minorHAnsi" w:hAnsiTheme="minorHAnsi" w:cs="Arial"/>
        </w:rPr>
        <w:t>Historically these services have</w:t>
      </w:r>
      <w:r w:rsidR="00DC75C9">
        <w:rPr>
          <w:rFonts w:asciiTheme="minorHAnsi" w:hAnsiTheme="minorHAnsi" w:cs="Arial"/>
        </w:rPr>
        <w:t xml:space="preserve"> been </w:t>
      </w:r>
      <w:r w:rsidR="00B823FA">
        <w:rPr>
          <w:rFonts w:asciiTheme="minorHAnsi" w:hAnsiTheme="minorHAnsi" w:cs="Arial"/>
        </w:rPr>
        <w:t>considered</w:t>
      </w:r>
      <w:r w:rsidR="00DC75C9">
        <w:rPr>
          <w:rFonts w:asciiTheme="minorHAnsi" w:hAnsiTheme="minorHAnsi" w:cs="Arial"/>
        </w:rPr>
        <w:t xml:space="preserve"> a beneficial </w:t>
      </w:r>
      <w:r w:rsidRPr="00CB560D">
        <w:rPr>
          <w:rFonts w:asciiTheme="minorHAnsi" w:hAnsiTheme="minorHAnsi" w:cs="Arial"/>
        </w:rPr>
        <w:t xml:space="preserve">by-product of the supply of electricity </w:t>
      </w:r>
      <w:r w:rsidR="00405D39">
        <w:rPr>
          <w:rFonts w:asciiTheme="minorHAnsi" w:hAnsiTheme="minorHAnsi" w:cs="Arial"/>
        </w:rPr>
        <w:t xml:space="preserve">from large </w:t>
      </w:r>
      <w:r w:rsidRPr="00CB560D">
        <w:rPr>
          <w:rFonts w:asciiTheme="minorHAnsi" w:hAnsiTheme="minorHAnsi" w:cs="Arial"/>
        </w:rPr>
        <w:t>synchronous generation.</w:t>
      </w:r>
    </w:p>
    <w:p w14:paraId="3AFFF6E3" w14:textId="7CFE6A60" w:rsidR="00740E66" w:rsidRPr="00A11265" w:rsidRDefault="00740E66" w:rsidP="00740E66">
      <w:pPr>
        <w:rPr>
          <w:rFonts w:asciiTheme="minorHAnsi" w:hAnsiTheme="minorHAnsi" w:cs="Arial"/>
        </w:rPr>
      </w:pPr>
      <w:r w:rsidRPr="00CB560D">
        <w:rPr>
          <w:rFonts w:asciiTheme="minorHAnsi" w:hAnsiTheme="minorHAnsi" w:cs="Arial"/>
        </w:rPr>
        <w:t>As the generation mix changes to include an increasing amount of non-synchronous generation, such as solar</w:t>
      </w:r>
      <w:r w:rsidR="000458F9">
        <w:rPr>
          <w:rFonts w:asciiTheme="minorHAnsi" w:hAnsiTheme="minorHAnsi" w:cs="Arial"/>
        </w:rPr>
        <w:t xml:space="preserve"> PV</w:t>
      </w:r>
      <w:r w:rsidRPr="00CB560D">
        <w:rPr>
          <w:rFonts w:asciiTheme="minorHAnsi" w:hAnsiTheme="minorHAnsi" w:cs="Arial"/>
        </w:rPr>
        <w:t>, it has become apparent that these so called ‘ancillary’ services, are in fact ‘essential’. Given this and</w:t>
      </w:r>
      <w:r w:rsidR="00213F00">
        <w:rPr>
          <w:rFonts w:asciiTheme="minorHAnsi" w:hAnsiTheme="minorHAnsi" w:cs="Arial"/>
        </w:rPr>
        <w:t xml:space="preserve"> an</w:t>
      </w:r>
      <w:r w:rsidRPr="00CB560D">
        <w:rPr>
          <w:rFonts w:asciiTheme="minorHAnsi" w:hAnsiTheme="minorHAnsi" w:cs="Arial"/>
        </w:rPr>
        <w:t xml:space="preserve"> increasing </w:t>
      </w:r>
      <w:r w:rsidR="00213F00">
        <w:rPr>
          <w:rFonts w:asciiTheme="minorHAnsi" w:hAnsiTheme="minorHAnsi" w:cs="Arial"/>
        </w:rPr>
        <w:t>requirement</w:t>
      </w:r>
      <w:r w:rsidRPr="00CB560D">
        <w:rPr>
          <w:rFonts w:asciiTheme="minorHAnsi" w:hAnsiTheme="minorHAnsi" w:cs="Arial"/>
        </w:rPr>
        <w:t xml:space="preserve"> for </w:t>
      </w:r>
      <w:r w:rsidR="00213F00">
        <w:rPr>
          <w:rFonts w:asciiTheme="minorHAnsi" w:hAnsiTheme="minorHAnsi" w:cs="Arial"/>
        </w:rPr>
        <w:t>essential system services</w:t>
      </w:r>
      <w:r w:rsidRPr="00CB560D">
        <w:rPr>
          <w:rFonts w:asciiTheme="minorHAnsi" w:hAnsiTheme="minorHAnsi" w:cs="Arial"/>
        </w:rPr>
        <w:t xml:space="preserve"> </w:t>
      </w:r>
      <w:r w:rsidR="00213F00">
        <w:rPr>
          <w:rFonts w:asciiTheme="minorHAnsi" w:hAnsiTheme="minorHAnsi" w:cs="Arial"/>
        </w:rPr>
        <w:t xml:space="preserve">as the result </w:t>
      </w:r>
      <w:r w:rsidR="00213F00" w:rsidRPr="00A11265">
        <w:rPr>
          <w:rFonts w:asciiTheme="minorHAnsi" w:hAnsiTheme="minorHAnsi" w:cs="Arial"/>
        </w:rPr>
        <w:t>of increased</w:t>
      </w:r>
      <w:r w:rsidRPr="00A11265">
        <w:rPr>
          <w:rFonts w:asciiTheme="minorHAnsi" w:hAnsiTheme="minorHAnsi" w:cs="Arial"/>
        </w:rPr>
        <w:t xml:space="preserve"> production of electricity from solar</w:t>
      </w:r>
      <w:r w:rsidR="00213F00" w:rsidRPr="00A11265">
        <w:rPr>
          <w:rFonts w:asciiTheme="minorHAnsi" w:hAnsiTheme="minorHAnsi" w:cs="Arial"/>
        </w:rPr>
        <w:t xml:space="preserve"> PV</w:t>
      </w:r>
      <w:r w:rsidRPr="00A11265">
        <w:rPr>
          <w:rFonts w:asciiTheme="minorHAnsi" w:hAnsiTheme="minorHAnsi" w:cs="Arial"/>
        </w:rPr>
        <w:t xml:space="preserve">, </w:t>
      </w:r>
      <w:r w:rsidR="00213F00" w:rsidRPr="00A11265">
        <w:rPr>
          <w:rFonts w:asciiTheme="minorHAnsi" w:hAnsiTheme="minorHAnsi" w:cs="Arial"/>
        </w:rPr>
        <w:t>essential system services are</w:t>
      </w:r>
      <w:r w:rsidRPr="00A11265">
        <w:rPr>
          <w:rFonts w:asciiTheme="minorHAnsi" w:hAnsiTheme="minorHAnsi" w:cs="Arial"/>
        </w:rPr>
        <w:t xml:space="preserve"> becoming a material portion of the total cost of power supply.</w:t>
      </w:r>
    </w:p>
    <w:p w14:paraId="1734C2FF" w14:textId="586B84CB" w:rsidR="00CB560D" w:rsidRPr="00A11265" w:rsidRDefault="00327081" w:rsidP="00CB560D">
      <w:pPr>
        <w:rPr>
          <w:rFonts w:asciiTheme="minorHAnsi" w:hAnsiTheme="minorHAnsi" w:cs="Arial"/>
        </w:rPr>
      </w:pPr>
      <w:r w:rsidRPr="00A11265">
        <w:rPr>
          <w:rFonts w:asciiTheme="minorHAnsi" w:hAnsiTheme="minorHAnsi" w:cs="Arial"/>
        </w:rPr>
        <w:t>On</w:t>
      </w:r>
      <w:r w:rsidR="00CB560D" w:rsidRPr="00A11265">
        <w:rPr>
          <w:rFonts w:asciiTheme="minorHAnsi" w:hAnsiTheme="minorHAnsi" w:cs="Arial"/>
        </w:rPr>
        <w:t xml:space="preserve"> the </w:t>
      </w:r>
      <w:r w:rsidR="00C77D15" w:rsidRPr="00A11265">
        <w:rPr>
          <w:rFonts w:asciiTheme="minorHAnsi" w:hAnsiTheme="minorHAnsi" w:cs="Arial"/>
        </w:rPr>
        <w:t>NT regulated systems</w:t>
      </w:r>
      <w:r w:rsidR="00CB560D" w:rsidRPr="00A11265">
        <w:rPr>
          <w:rFonts w:asciiTheme="minorHAnsi" w:hAnsiTheme="minorHAnsi" w:cs="Arial"/>
        </w:rPr>
        <w:t xml:space="preserve">, the provision and procurement of </w:t>
      </w:r>
      <w:r w:rsidR="00C77D15" w:rsidRPr="00A11265">
        <w:rPr>
          <w:rFonts w:asciiTheme="minorHAnsi" w:hAnsiTheme="minorHAnsi" w:cs="Arial"/>
        </w:rPr>
        <w:t>essential system services</w:t>
      </w:r>
      <w:r w:rsidR="00CB560D" w:rsidRPr="00A11265">
        <w:rPr>
          <w:rFonts w:asciiTheme="minorHAnsi" w:hAnsiTheme="minorHAnsi" w:cs="Arial"/>
        </w:rPr>
        <w:t xml:space="preserve"> are governed by various obligations within the Network Technical Code and Planning Criteria (NTC), the System Control Technical Code (SCTC) and </w:t>
      </w:r>
      <w:r w:rsidR="00186F17" w:rsidRPr="00A11265">
        <w:rPr>
          <w:rFonts w:asciiTheme="minorHAnsi" w:hAnsiTheme="minorHAnsi" w:cs="Arial"/>
        </w:rPr>
        <w:t>Secure System</w:t>
      </w:r>
      <w:r w:rsidR="00CB560D" w:rsidRPr="00A11265">
        <w:rPr>
          <w:rFonts w:asciiTheme="minorHAnsi" w:hAnsiTheme="minorHAnsi" w:cs="Arial"/>
        </w:rPr>
        <w:t xml:space="preserve"> Guidelines (SSG).</w:t>
      </w:r>
    </w:p>
    <w:p w14:paraId="5E296323" w14:textId="3AC949FD" w:rsidR="00CB560D" w:rsidRPr="00A11265" w:rsidRDefault="00CB560D" w:rsidP="00CB560D">
      <w:pPr>
        <w:rPr>
          <w:rFonts w:asciiTheme="minorHAnsi" w:hAnsiTheme="minorHAnsi" w:cs="Arial"/>
        </w:rPr>
      </w:pPr>
      <w:r w:rsidRPr="00A11265">
        <w:rPr>
          <w:rFonts w:asciiTheme="minorHAnsi" w:hAnsiTheme="minorHAnsi" w:cs="Arial"/>
        </w:rPr>
        <w:t xml:space="preserve">Under these instruments, the magnitude of </w:t>
      </w:r>
      <w:r w:rsidR="00327081" w:rsidRPr="00A11265">
        <w:rPr>
          <w:rFonts w:asciiTheme="minorHAnsi" w:hAnsiTheme="minorHAnsi" w:cs="Arial"/>
        </w:rPr>
        <w:t>essential system services</w:t>
      </w:r>
      <w:r w:rsidRPr="00A11265">
        <w:rPr>
          <w:rFonts w:asciiTheme="minorHAnsi" w:hAnsiTheme="minorHAnsi" w:cs="Arial"/>
        </w:rPr>
        <w:t xml:space="preserve"> requirements is specified by the System Controller and provided by Territory Generation</w:t>
      </w:r>
      <w:r w:rsidR="006A704A">
        <w:rPr>
          <w:rFonts w:asciiTheme="minorHAnsi" w:hAnsiTheme="minorHAnsi" w:cs="Arial"/>
        </w:rPr>
        <w:t xml:space="preserve"> (T-Gen)</w:t>
      </w:r>
      <w:r w:rsidRPr="00A11265">
        <w:rPr>
          <w:rFonts w:asciiTheme="minorHAnsi" w:hAnsiTheme="minorHAnsi" w:cs="Arial"/>
        </w:rPr>
        <w:t xml:space="preserve"> </w:t>
      </w:r>
      <w:r w:rsidR="00327081" w:rsidRPr="00A11265">
        <w:rPr>
          <w:rFonts w:asciiTheme="minorHAnsi" w:hAnsiTheme="minorHAnsi" w:cs="Arial"/>
        </w:rPr>
        <w:t xml:space="preserve">via </w:t>
      </w:r>
      <w:r w:rsidRPr="00A11265">
        <w:rPr>
          <w:rFonts w:asciiTheme="minorHAnsi" w:hAnsiTheme="minorHAnsi" w:cs="Arial"/>
        </w:rPr>
        <w:t>a bundled ‘spinning reserve’</w:t>
      </w:r>
      <w:r w:rsidR="00327081" w:rsidRPr="00A11265">
        <w:rPr>
          <w:rFonts w:asciiTheme="minorHAnsi" w:hAnsiTheme="minorHAnsi" w:cs="Arial"/>
        </w:rPr>
        <w:t xml:space="preserve"> service and separate regulation service</w:t>
      </w:r>
      <w:r w:rsidRPr="00A11265">
        <w:rPr>
          <w:rFonts w:asciiTheme="minorHAnsi" w:hAnsiTheme="minorHAnsi" w:cs="Arial"/>
        </w:rPr>
        <w:t>. Third party licenced generators are required to pay T</w:t>
      </w:r>
      <w:r w:rsidR="006A704A">
        <w:rPr>
          <w:rFonts w:asciiTheme="minorHAnsi" w:hAnsiTheme="minorHAnsi" w:cs="Arial"/>
        </w:rPr>
        <w:noBreakHyphen/>
        <w:t>Gen</w:t>
      </w:r>
      <w:r w:rsidRPr="00A11265">
        <w:rPr>
          <w:rFonts w:asciiTheme="minorHAnsi" w:hAnsiTheme="minorHAnsi" w:cs="Arial"/>
        </w:rPr>
        <w:t xml:space="preserve"> for the provision of these services at a </w:t>
      </w:r>
      <w:r w:rsidR="00327081" w:rsidRPr="00A11265">
        <w:rPr>
          <w:rFonts w:asciiTheme="minorHAnsi" w:hAnsiTheme="minorHAnsi" w:cs="Arial"/>
        </w:rPr>
        <w:t xml:space="preserve">combined single </w:t>
      </w:r>
      <w:r w:rsidRPr="00A11265">
        <w:rPr>
          <w:rFonts w:asciiTheme="minorHAnsi" w:hAnsiTheme="minorHAnsi" w:cs="Arial"/>
        </w:rPr>
        <w:t>fixed rate per megawatt hour</w:t>
      </w:r>
      <w:r w:rsidR="00D25903" w:rsidRPr="00A11265">
        <w:rPr>
          <w:rFonts w:asciiTheme="minorHAnsi" w:hAnsiTheme="minorHAnsi" w:cs="Arial"/>
        </w:rPr>
        <w:t xml:space="preserve"> (MWh)</w:t>
      </w:r>
      <w:r w:rsidRPr="00A11265">
        <w:rPr>
          <w:rFonts w:asciiTheme="minorHAnsi" w:hAnsiTheme="minorHAnsi" w:cs="Arial"/>
        </w:rPr>
        <w:t xml:space="preserve"> of electricity</w:t>
      </w:r>
      <w:r w:rsidR="00985A35" w:rsidRPr="00A11265">
        <w:rPr>
          <w:rFonts w:asciiTheme="minorHAnsi" w:hAnsiTheme="minorHAnsi" w:cs="Arial"/>
        </w:rPr>
        <w:t xml:space="preserve"> sent out</w:t>
      </w:r>
      <w:r w:rsidRPr="00A11265">
        <w:rPr>
          <w:rFonts w:asciiTheme="minorHAnsi" w:hAnsiTheme="minorHAnsi" w:cs="Arial"/>
        </w:rPr>
        <w:t>.</w:t>
      </w:r>
    </w:p>
    <w:p w14:paraId="481573F8" w14:textId="77777777" w:rsidR="005518D7" w:rsidRPr="00A11265" w:rsidRDefault="005518D7" w:rsidP="005518D7">
      <w:pPr>
        <w:rPr>
          <w:rFonts w:asciiTheme="minorHAnsi" w:hAnsiTheme="minorHAnsi" w:cs="Arial"/>
        </w:rPr>
      </w:pPr>
      <w:r w:rsidRPr="00A11265">
        <w:rPr>
          <w:rFonts w:asciiTheme="minorHAnsi" w:hAnsiTheme="minorHAnsi" w:cs="Arial"/>
        </w:rPr>
        <w:lastRenderedPageBreak/>
        <w:t>The NT Government has committed to producing 50 per cent renewable energy by 2030 for electricity consumed by households and businesses, while at the same time maintaining security, reliability and affordability of electricity supply.</w:t>
      </w:r>
    </w:p>
    <w:p w14:paraId="7A0ED2DF" w14:textId="631741B8" w:rsidR="005518D7" w:rsidRPr="00A11265" w:rsidRDefault="005518D7" w:rsidP="005518D7">
      <w:pPr>
        <w:rPr>
          <w:rFonts w:asciiTheme="minorHAnsi" w:hAnsiTheme="minorHAnsi" w:cs="Arial"/>
        </w:rPr>
      </w:pPr>
      <w:r w:rsidRPr="00A11265">
        <w:rPr>
          <w:rFonts w:asciiTheme="minorHAnsi" w:hAnsiTheme="minorHAnsi" w:cs="Arial"/>
        </w:rPr>
        <w:t>The transition to 50 per cent renewable energy by 2030 is well underway with small</w:t>
      </w:r>
      <w:r w:rsidRPr="00A11265">
        <w:rPr>
          <w:rFonts w:asciiTheme="minorHAnsi" w:hAnsiTheme="minorHAnsi" w:cs="Arial"/>
        </w:rPr>
        <w:noBreakHyphen/>
        <w:t>scale solar PV generation already providing significant contributions to the energy supply and large</w:t>
      </w:r>
      <w:r w:rsidRPr="00A11265">
        <w:rPr>
          <w:rFonts w:asciiTheme="minorHAnsi" w:hAnsiTheme="minorHAnsi" w:cs="Arial"/>
        </w:rPr>
        <w:noBreakHyphen/>
        <w:t>scale solar PV systems beginning to emerge. With current and committed large</w:t>
      </w:r>
      <w:r w:rsidRPr="00A11265">
        <w:rPr>
          <w:rFonts w:asciiTheme="minorHAnsi" w:hAnsiTheme="minorHAnsi" w:cs="Arial"/>
        </w:rPr>
        <w:noBreakHyphen/>
        <w:t>scale solar</w:t>
      </w:r>
      <w:r>
        <w:rPr>
          <w:rFonts w:asciiTheme="minorHAnsi" w:hAnsiTheme="minorHAnsi" w:cs="Arial"/>
        </w:rPr>
        <w:t xml:space="preserve"> PV</w:t>
      </w:r>
      <w:r w:rsidRPr="00A11265">
        <w:rPr>
          <w:rFonts w:asciiTheme="minorHAnsi" w:hAnsiTheme="minorHAnsi" w:cs="Arial"/>
        </w:rPr>
        <w:t xml:space="preserve"> projects p</w:t>
      </w:r>
      <w:r w:rsidR="00A60F6B">
        <w:rPr>
          <w:rFonts w:asciiTheme="minorHAnsi" w:hAnsiTheme="minorHAnsi" w:cs="Arial"/>
        </w:rPr>
        <w:t>lanned for construction in 2020–</w:t>
      </w:r>
      <w:r w:rsidRPr="00A11265">
        <w:rPr>
          <w:rFonts w:asciiTheme="minorHAnsi" w:hAnsiTheme="minorHAnsi" w:cs="Arial"/>
        </w:rPr>
        <w:t xml:space="preserve">21, and projected residential and commercial rooftop solar </w:t>
      </w:r>
      <w:r>
        <w:rPr>
          <w:rFonts w:asciiTheme="minorHAnsi" w:hAnsiTheme="minorHAnsi" w:cs="Arial"/>
        </w:rPr>
        <w:t>PV</w:t>
      </w:r>
      <w:r w:rsidRPr="00A11265">
        <w:rPr>
          <w:rFonts w:asciiTheme="minorHAnsi" w:hAnsiTheme="minorHAnsi" w:cs="Arial"/>
        </w:rPr>
        <w:t xml:space="preserve"> installations, renewable energy is expected to supply up to 16 per cent of electricity consumption by the end of 2021.</w:t>
      </w:r>
    </w:p>
    <w:p w14:paraId="50384522" w14:textId="2D2D42B8" w:rsidR="006E6E45" w:rsidRPr="00A11265" w:rsidRDefault="006E6E45" w:rsidP="006E6E45">
      <w:pPr>
        <w:rPr>
          <w:rFonts w:asciiTheme="minorHAnsi" w:hAnsiTheme="minorHAnsi" w:cs="Arial"/>
        </w:rPr>
      </w:pPr>
      <w:r w:rsidRPr="00A11265">
        <w:rPr>
          <w:rFonts w:asciiTheme="minorHAnsi" w:hAnsiTheme="minorHAnsi" w:cs="Arial"/>
        </w:rPr>
        <w:t xml:space="preserve">The increased uptake of solar PV presents two challenges for the maintenance of adequate </w:t>
      </w:r>
      <w:r w:rsidR="00327081" w:rsidRPr="00A11265">
        <w:rPr>
          <w:rFonts w:asciiTheme="minorHAnsi" w:hAnsiTheme="minorHAnsi" w:cs="Arial"/>
        </w:rPr>
        <w:t>essential system services</w:t>
      </w:r>
      <w:r w:rsidRPr="00A11265">
        <w:rPr>
          <w:rFonts w:asciiTheme="minorHAnsi" w:hAnsiTheme="minorHAnsi" w:cs="Arial"/>
        </w:rPr>
        <w:t xml:space="preserve"> to maintain system security:</w:t>
      </w:r>
    </w:p>
    <w:p w14:paraId="19C10464" w14:textId="3C6546EA" w:rsidR="006E6E45" w:rsidRPr="00A11265" w:rsidRDefault="006E6E45" w:rsidP="001F613E">
      <w:pPr>
        <w:pStyle w:val="ListParagraph"/>
        <w:numPr>
          <w:ilvl w:val="0"/>
          <w:numId w:val="11"/>
        </w:numPr>
        <w:spacing w:before="200"/>
        <w:ind w:left="426"/>
        <w:rPr>
          <w:rFonts w:cs="Arial"/>
        </w:rPr>
      </w:pPr>
      <w:r w:rsidRPr="00A11265">
        <w:rPr>
          <w:rFonts w:cs="Arial"/>
        </w:rPr>
        <w:t xml:space="preserve">solar output requires additional </w:t>
      </w:r>
      <w:r w:rsidR="00327081" w:rsidRPr="00A11265">
        <w:rPr>
          <w:rFonts w:cs="Arial"/>
        </w:rPr>
        <w:t>essential system services</w:t>
      </w:r>
      <w:r w:rsidRPr="00A11265">
        <w:rPr>
          <w:rFonts w:cs="Arial"/>
        </w:rPr>
        <w:t xml:space="preserve"> to manage its higher level of variability</w:t>
      </w:r>
    </w:p>
    <w:p w14:paraId="1CD23E68" w14:textId="2C02515C" w:rsidR="006E6E45" w:rsidRPr="00A11265" w:rsidRDefault="006E6E45" w:rsidP="001F613E">
      <w:pPr>
        <w:pStyle w:val="ListParagraph"/>
        <w:numPr>
          <w:ilvl w:val="0"/>
          <w:numId w:val="11"/>
        </w:numPr>
        <w:spacing w:before="200"/>
        <w:ind w:left="426"/>
        <w:rPr>
          <w:rFonts w:cs="Arial"/>
        </w:rPr>
      </w:pPr>
      <w:proofErr w:type="gramStart"/>
      <w:r w:rsidRPr="00A11265">
        <w:rPr>
          <w:rFonts w:cs="Arial"/>
        </w:rPr>
        <w:t>solar</w:t>
      </w:r>
      <w:proofErr w:type="gramEnd"/>
      <w:r w:rsidRPr="00A11265">
        <w:rPr>
          <w:rFonts w:cs="Arial"/>
        </w:rPr>
        <w:t xml:space="preserve"> output displaces the gas-fired synchronous generation plant that inherently provides the </w:t>
      </w:r>
      <w:r w:rsidR="0098220A" w:rsidRPr="00A11265">
        <w:rPr>
          <w:rFonts w:cs="Arial"/>
        </w:rPr>
        <w:t>essential system services</w:t>
      </w:r>
      <w:r w:rsidRPr="00A11265">
        <w:rPr>
          <w:rFonts w:cs="Arial"/>
        </w:rPr>
        <w:t xml:space="preserve"> needed.</w:t>
      </w:r>
    </w:p>
    <w:p w14:paraId="48B0D999" w14:textId="6FF805B2" w:rsidR="006E6E45" w:rsidRPr="00A11265" w:rsidRDefault="006E6E45" w:rsidP="006E6E45">
      <w:pPr>
        <w:rPr>
          <w:rFonts w:asciiTheme="minorHAnsi" w:hAnsiTheme="minorHAnsi" w:cs="Arial"/>
        </w:rPr>
      </w:pPr>
      <w:r w:rsidRPr="00A11265">
        <w:rPr>
          <w:rFonts w:asciiTheme="minorHAnsi" w:hAnsiTheme="minorHAnsi" w:cs="Arial"/>
        </w:rPr>
        <w:t xml:space="preserve">The above challenges will result in a need to maintain higher levels of </w:t>
      </w:r>
      <w:r w:rsidR="0098220A" w:rsidRPr="00A11265">
        <w:rPr>
          <w:rFonts w:asciiTheme="minorHAnsi" w:hAnsiTheme="minorHAnsi" w:cs="Arial"/>
        </w:rPr>
        <w:t>essential system services</w:t>
      </w:r>
      <w:r w:rsidRPr="00A11265">
        <w:rPr>
          <w:rFonts w:asciiTheme="minorHAnsi" w:hAnsiTheme="minorHAnsi" w:cs="Arial"/>
        </w:rPr>
        <w:t xml:space="preserve"> in the future not associated with or required for energy production.</w:t>
      </w:r>
    </w:p>
    <w:p w14:paraId="439896CD" w14:textId="593E84ED" w:rsidR="006E6E45" w:rsidRPr="00A11265" w:rsidRDefault="006E6E45" w:rsidP="006E6E45">
      <w:pPr>
        <w:keepNext/>
        <w:rPr>
          <w:rFonts w:asciiTheme="minorHAnsi" w:hAnsiTheme="minorHAnsi" w:cs="Arial"/>
        </w:rPr>
      </w:pPr>
      <w:r w:rsidRPr="00A11265">
        <w:rPr>
          <w:rFonts w:asciiTheme="minorHAnsi" w:hAnsiTheme="minorHAnsi" w:cs="Arial"/>
        </w:rPr>
        <w:t>The challenges posed by the increased solar</w:t>
      </w:r>
      <w:r w:rsidR="000458F9">
        <w:rPr>
          <w:rFonts w:asciiTheme="minorHAnsi" w:hAnsiTheme="minorHAnsi" w:cs="Arial"/>
        </w:rPr>
        <w:t xml:space="preserve"> PV</w:t>
      </w:r>
      <w:r w:rsidRPr="00A11265">
        <w:rPr>
          <w:rFonts w:asciiTheme="minorHAnsi" w:hAnsiTheme="minorHAnsi" w:cs="Arial"/>
        </w:rPr>
        <w:t xml:space="preserve"> penetration have exposed shortcomings in the </w:t>
      </w:r>
      <w:r w:rsidR="00327081" w:rsidRPr="00A11265">
        <w:rPr>
          <w:rFonts w:asciiTheme="minorHAnsi" w:hAnsiTheme="minorHAnsi" w:cs="Arial"/>
        </w:rPr>
        <w:t>NT regulated systems</w:t>
      </w:r>
      <w:r w:rsidRPr="00A11265">
        <w:rPr>
          <w:rFonts w:asciiTheme="minorHAnsi" w:hAnsiTheme="minorHAnsi" w:cs="Arial"/>
        </w:rPr>
        <w:t xml:space="preserve">’ current </w:t>
      </w:r>
      <w:r w:rsidR="0098220A" w:rsidRPr="00A11265">
        <w:rPr>
          <w:rFonts w:asciiTheme="minorHAnsi" w:hAnsiTheme="minorHAnsi" w:cs="Arial"/>
        </w:rPr>
        <w:t>essential system services</w:t>
      </w:r>
      <w:r w:rsidRPr="00A11265">
        <w:rPr>
          <w:rFonts w:asciiTheme="minorHAnsi" w:hAnsiTheme="minorHAnsi" w:cs="Arial"/>
        </w:rPr>
        <w:t xml:space="preserve"> arrangements.</w:t>
      </w:r>
    </w:p>
    <w:p w14:paraId="4FDE169B" w14:textId="0F37C431" w:rsidR="006E6E45" w:rsidRPr="00A11265" w:rsidRDefault="006E6E45" w:rsidP="001F613E">
      <w:pPr>
        <w:pStyle w:val="ListParagraph"/>
        <w:numPr>
          <w:ilvl w:val="0"/>
          <w:numId w:val="11"/>
        </w:numPr>
        <w:spacing w:before="200"/>
        <w:ind w:left="426"/>
        <w:rPr>
          <w:rFonts w:cs="Arial"/>
        </w:rPr>
      </w:pPr>
      <w:r w:rsidRPr="00A11265">
        <w:rPr>
          <w:rFonts w:cs="Arial"/>
        </w:rPr>
        <w:t xml:space="preserve">The increased requirements for </w:t>
      </w:r>
      <w:r w:rsidR="0098220A" w:rsidRPr="00A11265">
        <w:rPr>
          <w:rFonts w:cs="Arial"/>
        </w:rPr>
        <w:t>essential system services</w:t>
      </w:r>
      <w:r w:rsidRPr="00A11265">
        <w:rPr>
          <w:rFonts w:cs="Arial"/>
        </w:rPr>
        <w:t xml:space="preserve"> result in higher costs of maintaining adequate levels using existing technologies.</w:t>
      </w:r>
    </w:p>
    <w:p w14:paraId="161613E0" w14:textId="058D4863" w:rsidR="006E6E45" w:rsidRPr="00A11265" w:rsidRDefault="006E6E45" w:rsidP="001F613E">
      <w:pPr>
        <w:pStyle w:val="ListParagraph"/>
        <w:numPr>
          <w:ilvl w:val="0"/>
          <w:numId w:val="11"/>
        </w:numPr>
        <w:spacing w:before="200"/>
        <w:ind w:left="426"/>
        <w:rPr>
          <w:rFonts w:cs="Arial"/>
        </w:rPr>
      </w:pPr>
      <w:r w:rsidRPr="00A11265">
        <w:rPr>
          <w:rFonts w:cs="Arial"/>
        </w:rPr>
        <w:t xml:space="preserve">The historic inherent provision of </w:t>
      </w:r>
      <w:r w:rsidR="0098220A" w:rsidRPr="00A11265">
        <w:rPr>
          <w:rFonts w:cs="Arial"/>
        </w:rPr>
        <w:t>essential system services</w:t>
      </w:r>
      <w:r w:rsidRPr="00A11265">
        <w:rPr>
          <w:rFonts w:cs="Arial"/>
        </w:rPr>
        <w:t xml:space="preserve"> as a by-product of electricity produced by </w:t>
      </w:r>
      <w:r w:rsidR="00327081" w:rsidRPr="00A11265">
        <w:rPr>
          <w:rFonts w:cs="Arial"/>
        </w:rPr>
        <w:t>gas</w:t>
      </w:r>
      <w:r w:rsidR="00327081" w:rsidRPr="00A11265">
        <w:rPr>
          <w:rFonts w:cs="Arial"/>
        </w:rPr>
        <w:noBreakHyphen/>
        <w:t>fired</w:t>
      </w:r>
      <w:r w:rsidRPr="00A11265">
        <w:rPr>
          <w:rFonts w:cs="Arial"/>
        </w:rPr>
        <w:t xml:space="preserve"> synchronous generators means that individual </w:t>
      </w:r>
      <w:r w:rsidR="0098220A" w:rsidRPr="00A11265">
        <w:rPr>
          <w:rFonts w:cs="Arial"/>
        </w:rPr>
        <w:t>service</w:t>
      </w:r>
      <w:r w:rsidR="00327081" w:rsidRPr="00A11265">
        <w:rPr>
          <w:rFonts w:cs="Arial"/>
        </w:rPr>
        <w:t xml:space="preserve"> types</w:t>
      </w:r>
      <w:r w:rsidRPr="00A11265">
        <w:rPr>
          <w:rFonts w:cs="Arial"/>
        </w:rPr>
        <w:t xml:space="preserve"> have not been adequately defined or specified.</w:t>
      </w:r>
    </w:p>
    <w:p w14:paraId="68052A80" w14:textId="5D8B914F" w:rsidR="006E6E45" w:rsidRPr="00A11265" w:rsidRDefault="006E6E45" w:rsidP="001F613E">
      <w:pPr>
        <w:pStyle w:val="ListParagraph"/>
        <w:numPr>
          <w:ilvl w:val="0"/>
          <w:numId w:val="11"/>
        </w:numPr>
        <w:spacing w:before="200"/>
        <w:ind w:left="426"/>
        <w:rPr>
          <w:rFonts w:cs="Arial"/>
        </w:rPr>
      </w:pPr>
      <w:r w:rsidRPr="00A11265">
        <w:rPr>
          <w:rFonts w:cs="Arial"/>
        </w:rPr>
        <w:t xml:space="preserve">The monopoly provision of </w:t>
      </w:r>
      <w:r w:rsidR="0098220A" w:rsidRPr="00A11265">
        <w:rPr>
          <w:rFonts w:cs="Arial"/>
        </w:rPr>
        <w:t>essential system services</w:t>
      </w:r>
      <w:r w:rsidRPr="00A11265">
        <w:rPr>
          <w:rFonts w:cs="Arial"/>
        </w:rPr>
        <w:t xml:space="preserve"> by </w:t>
      </w:r>
      <w:r w:rsidR="006A704A">
        <w:rPr>
          <w:rFonts w:cs="Arial"/>
        </w:rPr>
        <w:t>T-Gen</w:t>
      </w:r>
      <w:r w:rsidRPr="00A11265">
        <w:rPr>
          <w:rFonts w:cs="Arial"/>
        </w:rPr>
        <w:t xml:space="preserve"> forgoes opportunities for </w:t>
      </w:r>
      <w:r w:rsidR="00327081" w:rsidRPr="00A11265">
        <w:rPr>
          <w:rFonts w:cs="Arial"/>
        </w:rPr>
        <w:t>their</w:t>
      </w:r>
      <w:r w:rsidRPr="00A11265">
        <w:rPr>
          <w:rFonts w:cs="Arial"/>
        </w:rPr>
        <w:t xml:space="preserve"> provision by other, potentially lower cost, providers.</w:t>
      </w:r>
    </w:p>
    <w:p w14:paraId="293C5E32" w14:textId="36AC3190" w:rsidR="006E6E45" w:rsidRPr="00A11265" w:rsidRDefault="006E6E45" w:rsidP="001F613E">
      <w:pPr>
        <w:pStyle w:val="ListParagraph"/>
        <w:numPr>
          <w:ilvl w:val="0"/>
          <w:numId w:val="11"/>
        </w:numPr>
        <w:spacing w:before="200"/>
        <w:ind w:left="426"/>
        <w:rPr>
          <w:rFonts w:cs="Arial"/>
        </w:rPr>
      </w:pPr>
      <w:r w:rsidRPr="00A11265">
        <w:rPr>
          <w:rFonts w:cs="Arial"/>
        </w:rPr>
        <w:t>The current definitions and specifications of</w:t>
      </w:r>
      <w:r w:rsidR="0098220A" w:rsidRPr="00A11265">
        <w:rPr>
          <w:rFonts w:cs="Arial"/>
        </w:rPr>
        <w:t xml:space="preserve"> essential system services</w:t>
      </w:r>
      <w:r w:rsidRPr="00A11265">
        <w:rPr>
          <w:rFonts w:cs="Arial"/>
        </w:rPr>
        <w:t xml:space="preserve"> preclude other, potentially lower cost, technologies from providing </w:t>
      </w:r>
      <w:r w:rsidR="00327081" w:rsidRPr="00A11265">
        <w:rPr>
          <w:rFonts w:cs="Arial"/>
        </w:rPr>
        <w:t>them</w:t>
      </w:r>
      <w:r w:rsidRPr="00A11265">
        <w:rPr>
          <w:rFonts w:cs="Arial"/>
        </w:rPr>
        <w:t>, including large- and small</w:t>
      </w:r>
      <w:r w:rsidRPr="00A11265">
        <w:rPr>
          <w:rFonts w:cs="Arial"/>
        </w:rPr>
        <w:noBreakHyphen/>
        <w:t>scale solar PV and batteries.</w:t>
      </w:r>
    </w:p>
    <w:p w14:paraId="0BF67B02" w14:textId="78F9AE59" w:rsidR="006E6E45" w:rsidRPr="00A11265" w:rsidRDefault="006E6E45" w:rsidP="006E6E45">
      <w:pPr>
        <w:rPr>
          <w:rFonts w:asciiTheme="minorHAnsi" w:hAnsiTheme="minorHAnsi" w:cs="Arial"/>
        </w:rPr>
      </w:pPr>
      <w:r w:rsidRPr="00A11265">
        <w:rPr>
          <w:rFonts w:asciiTheme="minorHAnsi" w:hAnsiTheme="minorHAnsi" w:cs="Arial"/>
        </w:rPr>
        <w:t xml:space="preserve">Although at present, the </w:t>
      </w:r>
      <w:r w:rsidR="0098220A" w:rsidRPr="00A11265">
        <w:rPr>
          <w:rFonts w:asciiTheme="minorHAnsi" w:hAnsiTheme="minorHAnsi" w:cs="Arial"/>
        </w:rPr>
        <w:t>NT regulated systems’</w:t>
      </w:r>
      <w:r w:rsidRPr="00A11265">
        <w:rPr>
          <w:rFonts w:asciiTheme="minorHAnsi" w:hAnsiTheme="minorHAnsi" w:cs="Arial"/>
        </w:rPr>
        <w:t xml:space="preserve"> installed gas-fired generation fleet provides sufficient </w:t>
      </w:r>
      <w:r w:rsidR="0098220A" w:rsidRPr="00A11265">
        <w:rPr>
          <w:rFonts w:asciiTheme="minorHAnsi" w:hAnsiTheme="minorHAnsi" w:cs="Arial"/>
        </w:rPr>
        <w:t>essential system services</w:t>
      </w:r>
      <w:r w:rsidR="007D3F64" w:rsidRPr="00A11265">
        <w:rPr>
          <w:rFonts w:asciiTheme="minorHAnsi" w:hAnsiTheme="minorHAnsi" w:cs="Arial"/>
        </w:rPr>
        <w:t xml:space="preserve"> to maintain system security</w:t>
      </w:r>
      <w:r w:rsidRPr="00A11265">
        <w:rPr>
          <w:rFonts w:asciiTheme="minorHAnsi" w:hAnsiTheme="minorHAnsi" w:cs="Arial"/>
        </w:rPr>
        <w:t>, it does so at a</w:t>
      </w:r>
      <w:r w:rsidR="00F86E96">
        <w:rPr>
          <w:rFonts w:asciiTheme="minorHAnsi" w:hAnsiTheme="minorHAnsi" w:cs="Arial"/>
        </w:rPr>
        <w:t xml:space="preserve"> </w:t>
      </w:r>
      <w:r w:rsidR="00074521">
        <w:rPr>
          <w:rFonts w:asciiTheme="minorHAnsi" w:hAnsiTheme="minorHAnsi" w:cs="Arial"/>
        </w:rPr>
        <w:t>comparatively</w:t>
      </w:r>
      <w:r w:rsidRPr="00A11265">
        <w:rPr>
          <w:rFonts w:asciiTheme="minorHAnsi" w:hAnsiTheme="minorHAnsi" w:cs="Arial"/>
        </w:rPr>
        <w:t xml:space="preserve"> high cost. There will also become a point when the existing generation</w:t>
      </w:r>
      <w:r w:rsidR="007D3F64" w:rsidRPr="00A11265">
        <w:rPr>
          <w:rFonts w:asciiTheme="minorHAnsi" w:hAnsiTheme="minorHAnsi" w:cs="Arial"/>
        </w:rPr>
        <w:t xml:space="preserve"> fleet</w:t>
      </w:r>
      <w:r w:rsidRPr="00A11265">
        <w:rPr>
          <w:rFonts w:asciiTheme="minorHAnsi" w:hAnsiTheme="minorHAnsi" w:cs="Arial"/>
        </w:rPr>
        <w:t xml:space="preserve"> will not have sufficient capability to maintain system security and reforms of the </w:t>
      </w:r>
      <w:r w:rsidR="0098220A" w:rsidRPr="00A11265">
        <w:rPr>
          <w:rFonts w:asciiTheme="minorHAnsi" w:hAnsiTheme="minorHAnsi" w:cs="Arial"/>
        </w:rPr>
        <w:t>essential system services</w:t>
      </w:r>
      <w:r w:rsidRPr="00A11265">
        <w:rPr>
          <w:rFonts w:asciiTheme="minorHAnsi" w:hAnsiTheme="minorHAnsi" w:cs="Arial"/>
        </w:rPr>
        <w:t xml:space="preserve"> arrangements will become critical. </w:t>
      </w:r>
    </w:p>
    <w:p w14:paraId="1020E962" w14:textId="3BE6C7E2" w:rsidR="006E6E45" w:rsidRPr="00A11265" w:rsidRDefault="006E6E45" w:rsidP="006E6E45">
      <w:pPr>
        <w:pStyle w:val="Heading2"/>
        <w:keepNext/>
        <w:rPr>
          <w:lang w:eastAsia="en-AU"/>
        </w:rPr>
      </w:pPr>
      <w:bookmarkStart w:id="8" w:name="_Toc57813125"/>
      <w:bookmarkStart w:id="9" w:name="_Toc57813263"/>
      <w:bookmarkStart w:id="10" w:name="_Toc57813127"/>
      <w:bookmarkStart w:id="11" w:name="_Toc57813265"/>
      <w:bookmarkStart w:id="12" w:name="_Toc57813129"/>
      <w:bookmarkStart w:id="13" w:name="_Toc57813267"/>
      <w:bookmarkStart w:id="14" w:name="_Toc57813130"/>
      <w:bookmarkStart w:id="15" w:name="_Toc57813268"/>
      <w:bookmarkStart w:id="16" w:name="_Toc57813131"/>
      <w:bookmarkStart w:id="17" w:name="_Toc57813269"/>
      <w:bookmarkStart w:id="18" w:name="_Toc57813133"/>
      <w:bookmarkStart w:id="19" w:name="_Toc57813271"/>
      <w:bookmarkStart w:id="20" w:name="_Toc57813134"/>
      <w:bookmarkStart w:id="21" w:name="_Toc57813272"/>
      <w:bookmarkStart w:id="22" w:name="_Toc61852373"/>
      <w:bookmarkStart w:id="23" w:name="_Toc61852374"/>
      <w:bookmarkStart w:id="24" w:name="_Toc6195618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A11265">
        <w:rPr>
          <w:lang w:eastAsia="en-AU"/>
        </w:rPr>
        <w:t>Review scope</w:t>
      </w:r>
      <w:bookmarkEnd w:id="24"/>
    </w:p>
    <w:p w14:paraId="59A6157D" w14:textId="1F36B41F" w:rsidR="006E6E45" w:rsidRPr="00A11265" w:rsidRDefault="006E6E45" w:rsidP="006E6E45">
      <w:pPr>
        <w:rPr>
          <w:rFonts w:cs="Arial"/>
        </w:rPr>
      </w:pPr>
      <w:r w:rsidRPr="00A11265">
        <w:rPr>
          <w:rFonts w:asciiTheme="minorHAnsi" w:hAnsiTheme="minorHAnsi" w:cs="Arial"/>
        </w:rPr>
        <w:t xml:space="preserve">As identified in the NTEM Priority Reform Program Introductory </w:t>
      </w:r>
      <w:r w:rsidR="009D1630" w:rsidRPr="00A11265">
        <w:rPr>
          <w:rFonts w:asciiTheme="minorHAnsi" w:hAnsiTheme="minorHAnsi" w:cs="Arial"/>
        </w:rPr>
        <w:t>N</w:t>
      </w:r>
      <w:r w:rsidRPr="00A11265">
        <w:rPr>
          <w:rFonts w:asciiTheme="minorHAnsi" w:hAnsiTheme="minorHAnsi" w:cs="Arial"/>
        </w:rPr>
        <w:t>otes</w:t>
      </w:r>
      <w:r w:rsidR="004F20ED" w:rsidRPr="00A11265">
        <w:rPr>
          <w:rFonts w:asciiTheme="minorHAnsi" w:hAnsiTheme="minorHAnsi" w:cs="Arial"/>
        </w:rPr>
        <w:t>, the proposed changes to essential system services</w:t>
      </w:r>
      <w:r w:rsidRPr="00A11265">
        <w:rPr>
          <w:rFonts w:asciiTheme="minorHAnsi" w:hAnsiTheme="minorHAnsi" w:cs="Arial"/>
        </w:rPr>
        <w:t xml:space="preserve"> arrangements are:</w:t>
      </w:r>
    </w:p>
    <w:p w14:paraId="539341CA" w14:textId="1321FDED" w:rsidR="006E6E45" w:rsidRPr="00A11265" w:rsidRDefault="006E6E45" w:rsidP="00E02062">
      <w:pPr>
        <w:pStyle w:val="ListParagraph"/>
        <w:numPr>
          <w:ilvl w:val="0"/>
          <w:numId w:val="12"/>
        </w:numPr>
        <w:ind w:left="426"/>
        <w:rPr>
          <w:rFonts w:eastAsia="Calibri" w:cs="Arial"/>
          <w:iCs w:val="0"/>
        </w:rPr>
      </w:pPr>
      <w:r w:rsidRPr="00A11265">
        <w:rPr>
          <w:rFonts w:eastAsia="Calibri" w:cs="Arial"/>
          <w:iCs w:val="0"/>
        </w:rPr>
        <w:t xml:space="preserve">updating the quantum of the rate paid to </w:t>
      </w:r>
      <w:r w:rsidR="006A704A">
        <w:rPr>
          <w:rFonts w:eastAsia="Calibri" w:cs="Arial"/>
          <w:iCs w:val="0"/>
        </w:rPr>
        <w:t>T-Gen</w:t>
      </w:r>
      <w:r w:rsidR="004F20ED" w:rsidRPr="00A11265">
        <w:rPr>
          <w:rFonts w:eastAsia="Calibri" w:cs="Arial"/>
          <w:iCs w:val="0"/>
        </w:rPr>
        <w:t xml:space="preserve"> for essential system services</w:t>
      </w:r>
      <w:r w:rsidRPr="00A11265">
        <w:rPr>
          <w:rFonts w:eastAsia="Calibri" w:cs="Arial"/>
          <w:iCs w:val="0"/>
        </w:rPr>
        <w:t xml:space="preserve"> by other generators</w:t>
      </w:r>
    </w:p>
    <w:p w14:paraId="534FB301" w14:textId="77777777" w:rsidR="006E6E45" w:rsidRPr="00A11265" w:rsidRDefault="006E6E45" w:rsidP="00E02062">
      <w:pPr>
        <w:pStyle w:val="ListParagraph"/>
        <w:numPr>
          <w:ilvl w:val="0"/>
          <w:numId w:val="12"/>
        </w:numPr>
        <w:ind w:left="425" w:hanging="357"/>
        <w:rPr>
          <w:rFonts w:eastAsia="Calibri" w:cs="Arial"/>
          <w:iCs w:val="0"/>
        </w:rPr>
      </w:pPr>
      <w:r w:rsidRPr="00A11265">
        <w:rPr>
          <w:rFonts w:eastAsia="Calibri" w:cs="Arial"/>
          <w:iCs w:val="0"/>
        </w:rPr>
        <w:t>codifying the process for reviewing and updating the quantum of the rate to ensure the rate remains up to date</w:t>
      </w:r>
    </w:p>
    <w:p w14:paraId="33931849" w14:textId="138BDF7B" w:rsidR="006E6E45" w:rsidRPr="00A11265" w:rsidRDefault="006E6E45" w:rsidP="00E02062">
      <w:pPr>
        <w:pStyle w:val="ListParagraph"/>
        <w:numPr>
          <w:ilvl w:val="0"/>
          <w:numId w:val="12"/>
        </w:numPr>
        <w:ind w:left="426"/>
        <w:rPr>
          <w:rFonts w:eastAsia="Calibri" w:cs="Arial"/>
          <w:iCs w:val="0"/>
        </w:rPr>
      </w:pPr>
      <w:proofErr w:type="gramStart"/>
      <w:r w:rsidRPr="00A11265">
        <w:rPr>
          <w:rFonts w:eastAsia="Calibri" w:cs="Arial"/>
          <w:iCs w:val="0"/>
        </w:rPr>
        <w:t>improving</w:t>
      </w:r>
      <w:proofErr w:type="gramEnd"/>
      <w:r w:rsidRPr="00A11265">
        <w:rPr>
          <w:rFonts w:eastAsia="Calibri" w:cs="Arial"/>
          <w:iCs w:val="0"/>
        </w:rPr>
        <w:t xml:space="preserve"> the transparency of costs for individual and categories of services captured in the rate, such as by defining and separately costing each essential system service required</w:t>
      </w:r>
      <w:r w:rsidR="00522241">
        <w:rPr>
          <w:rFonts w:eastAsia="Calibri" w:cs="Arial"/>
          <w:iCs w:val="0"/>
        </w:rPr>
        <w:t>.</w:t>
      </w:r>
    </w:p>
    <w:p w14:paraId="6FCA3553" w14:textId="3A66DD4B" w:rsidR="00645057" w:rsidRPr="00A11265" w:rsidRDefault="006E6E45">
      <w:pPr>
        <w:rPr>
          <w:rFonts w:asciiTheme="minorHAnsi" w:hAnsiTheme="minorHAnsi" w:cs="Arial"/>
        </w:rPr>
      </w:pPr>
      <w:r w:rsidRPr="00A11265">
        <w:rPr>
          <w:rFonts w:asciiTheme="minorHAnsi" w:hAnsiTheme="minorHAnsi" w:cs="Arial"/>
        </w:rPr>
        <w:lastRenderedPageBreak/>
        <w:t>In addition to the implementation of</w:t>
      </w:r>
      <w:r w:rsidR="004F20ED" w:rsidRPr="00A11265">
        <w:rPr>
          <w:rFonts w:asciiTheme="minorHAnsi" w:hAnsiTheme="minorHAnsi" w:cs="Arial"/>
        </w:rPr>
        <w:t xml:space="preserve"> changes to the provision of essential system services</w:t>
      </w:r>
      <w:r w:rsidRPr="00A11265">
        <w:rPr>
          <w:rFonts w:asciiTheme="minorHAnsi" w:hAnsiTheme="minorHAnsi" w:cs="Arial"/>
        </w:rPr>
        <w:t xml:space="preserve"> by </w:t>
      </w:r>
      <w:r w:rsidR="006A704A">
        <w:rPr>
          <w:rFonts w:asciiTheme="minorHAnsi" w:hAnsiTheme="minorHAnsi" w:cs="Arial"/>
        </w:rPr>
        <w:t>T-Gen</w:t>
      </w:r>
      <w:r w:rsidRPr="00A11265">
        <w:rPr>
          <w:rFonts w:asciiTheme="minorHAnsi" w:hAnsiTheme="minorHAnsi" w:cs="Arial"/>
        </w:rPr>
        <w:t>, the Northern Territory Government recognises that there may be benefits from contestability in the provisio</w:t>
      </w:r>
      <w:r w:rsidR="00A84CE3" w:rsidRPr="00A11265">
        <w:rPr>
          <w:rFonts w:asciiTheme="minorHAnsi" w:hAnsiTheme="minorHAnsi" w:cs="Arial"/>
        </w:rPr>
        <w:t xml:space="preserve">n of </w:t>
      </w:r>
      <w:r w:rsidR="009D1630" w:rsidRPr="00A11265">
        <w:rPr>
          <w:rFonts w:asciiTheme="minorHAnsi" w:hAnsiTheme="minorHAnsi" w:cs="Arial"/>
        </w:rPr>
        <w:t>these</w:t>
      </w:r>
      <w:r w:rsidR="00A84CE3" w:rsidRPr="00A11265">
        <w:rPr>
          <w:rFonts w:asciiTheme="minorHAnsi" w:hAnsiTheme="minorHAnsi" w:cs="Arial"/>
        </w:rPr>
        <w:t xml:space="preserve"> services.</w:t>
      </w:r>
    </w:p>
    <w:p w14:paraId="11817CFF" w14:textId="602CEB20" w:rsidR="009A2EBB" w:rsidRPr="00A11265" w:rsidRDefault="009A2EBB">
      <w:pPr>
        <w:rPr>
          <w:rFonts w:asciiTheme="minorHAnsi" w:hAnsiTheme="minorHAnsi" w:cs="Arial"/>
        </w:rPr>
      </w:pPr>
      <w:r w:rsidRPr="00A11265">
        <w:rPr>
          <w:rFonts w:asciiTheme="minorHAnsi" w:hAnsiTheme="minorHAnsi" w:cs="Arial"/>
        </w:rPr>
        <w:t>In reviewing essential system services, the Design Development Team will review potential arr</w:t>
      </w:r>
      <w:r w:rsidR="004F20ED" w:rsidRPr="00A11265">
        <w:rPr>
          <w:rFonts w:asciiTheme="minorHAnsi" w:hAnsiTheme="minorHAnsi" w:cs="Arial"/>
        </w:rPr>
        <w:t>angements for the competitive provision of essential system services</w:t>
      </w:r>
      <w:r w:rsidRPr="00A11265">
        <w:rPr>
          <w:rFonts w:asciiTheme="minorHAnsi" w:hAnsiTheme="minorHAnsi" w:cs="Arial"/>
        </w:rPr>
        <w:t xml:space="preserve"> in the </w:t>
      </w:r>
      <w:r w:rsidR="009D1630" w:rsidRPr="00A11265">
        <w:rPr>
          <w:rFonts w:asciiTheme="minorHAnsi" w:hAnsiTheme="minorHAnsi" w:cs="Arial"/>
        </w:rPr>
        <w:t>NT regulated systems</w:t>
      </w:r>
      <w:r w:rsidR="00192E08" w:rsidRPr="00A11265">
        <w:rPr>
          <w:rFonts w:asciiTheme="minorHAnsi" w:hAnsiTheme="minorHAnsi" w:cs="Arial"/>
        </w:rPr>
        <w:t xml:space="preserve"> for consideration by the Government.</w:t>
      </w:r>
    </w:p>
    <w:p w14:paraId="4D779819" w14:textId="4B3B0F94" w:rsidR="00C249CB" w:rsidRPr="00A11265" w:rsidRDefault="00C249CB" w:rsidP="00D9724C">
      <w:pPr>
        <w:pStyle w:val="Heading2"/>
        <w:keepNext/>
        <w:rPr>
          <w:lang w:eastAsia="en-AU"/>
        </w:rPr>
      </w:pPr>
      <w:bookmarkStart w:id="25" w:name="_Toc61956185"/>
      <w:r w:rsidRPr="00A11265">
        <w:rPr>
          <w:lang w:eastAsia="en-AU"/>
        </w:rPr>
        <w:t>Context and approach</w:t>
      </w:r>
      <w:bookmarkEnd w:id="25"/>
    </w:p>
    <w:p w14:paraId="4B6BF89A" w14:textId="3EDBE94D" w:rsidR="00CB560D" w:rsidRPr="00A11265" w:rsidRDefault="00CB560D" w:rsidP="005208EA">
      <w:pPr>
        <w:pStyle w:val="Heading3"/>
        <w:rPr>
          <w:szCs w:val="24"/>
          <w:lang w:eastAsia="en-AU"/>
        </w:rPr>
      </w:pPr>
      <w:bookmarkStart w:id="26" w:name="_Toc58786439"/>
      <w:bookmarkStart w:id="27" w:name="_Toc58156915"/>
      <w:bookmarkStart w:id="28" w:name="_Toc58207466"/>
      <w:bookmarkStart w:id="29" w:name="_Toc58156916"/>
      <w:bookmarkStart w:id="30" w:name="_Toc58207467"/>
      <w:bookmarkStart w:id="31" w:name="_Toc57813138"/>
      <w:bookmarkStart w:id="32" w:name="_Toc57813276"/>
      <w:bookmarkStart w:id="33" w:name="_Toc57813400"/>
      <w:bookmarkStart w:id="34" w:name="_Toc57889173"/>
      <w:bookmarkStart w:id="35" w:name="_Toc57997876"/>
      <w:bookmarkStart w:id="36" w:name="_Toc58068042"/>
      <w:bookmarkStart w:id="37" w:name="_Toc58156917"/>
      <w:bookmarkStart w:id="38" w:name="_Toc58207468"/>
      <w:bookmarkStart w:id="39" w:name="_Toc57813139"/>
      <w:bookmarkStart w:id="40" w:name="_Toc57813277"/>
      <w:bookmarkStart w:id="41" w:name="_Toc57813401"/>
      <w:bookmarkStart w:id="42" w:name="_Toc57889174"/>
      <w:bookmarkStart w:id="43" w:name="_Toc57997877"/>
      <w:bookmarkStart w:id="44" w:name="_Toc58068043"/>
      <w:bookmarkStart w:id="45" w:name="_Toc58156918"/>
      <w:bookmarkStart w:id="46" w:name="_Toc5820746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A11265">
        <w:rPr>
          <w:szCs w:val="24"/>
          <w:lang w:eastAsia="en-AU"/>
        </w:rPr>
        <w:t xml:space="preserve">Relationship with </w:t>
      </w:r>
      <w:r w:rsidR="00326298" w:rsidRPr="00A11265">
        <w:rPr>
          <w:szCs w:val="24"/>
          <w:lang w:eastAsia="en-AU"/>
        </w:rPr>
        <w:t>the Northern Territory Electricity Market Priority Reform Program</w:t>
      </w:r>
    </w:p>
    <w:p w14:paraId="082D0603" w14:textId="36D81475" w:rsidR="00CB560D" w:rsidRPr="00A11265" w:rsidRDefault="00CB560D" w:rsidP="00CB560D">
      <w:pPr>
        <w:rPr>
          <w:rFonts w:asciiTheme="minorHAnsi" w:hAnsiTheme="minorHAnsi" w:cs="Arial"/>
        </w:rPr>
      </w:pPr>
      <w:r w:rsidRPr="00A11265">
        <w:rPr>
          <w:rFonts w:asciiTheme="minorHAnsi" w:hAnsiTheme="minorHAnsi" w:cs="Arial"/>
        </w:rPr>
        <w:t xml:space="preserve">The increasing diversity of the </w:t>
      </w:r>
      <w:r w:rsidR="00F17647">
        <w:rPr>
          <w:rFonts w:asciiTheme="minorHAnsi" w:hAnsiTheme="minorHAnsi" w:cs="Arial"/>
        </w:rPr>
        <w:t>NT</w:t>
      </w:r>
      <w:r w:rsidRPr="00A11265">
        <w:rPr>
          <w:rFonts w:asciiTheme="minorHAnsi" w:hAnsiTheme="minorHAnsi" w:cs="Arial"/>
        </w:rPr>
        <w:t xml:space="preserve">’s electricity systems, in terms of technologies and participants, is being facilitated by implementation of </w:t>
      </w:r>
      <w:r w:rsidR="00D61921" w:rsidRPr="00A11265">
        <w:rPr>
          <w:rFonts w:asciiTheme="minorHAnsi" w:hAnsiTheme="minorHAnsi" w:cs="Arial"/>
        </w:rPr>
        <w:t xml:space="preserve">the </w:t>
      </w:r>
      <w:r w:rsidR="005208EA" w:rsidRPr="00A11265">
        <w:rPr>
          <w:rFonts w:asciiTheme="minorHAnsi" w:hAnsiTheme="minorHAnsi" w:cs="Arial"/>
        </w:rPr>
        <w:t>NTEM</w:t>
      </w:r>
      <w:r w:rsidR="00D1349E" w:rsidRPr="00A11265">
        <w:rPr>
          <w:rFonts w:asciiTheme="minorHAnsi" w:hAnsiTheme="minorHAnsi" w:cs="Arial"/>
        </w:rPr>
        <w:t xml:space="preserve"> Priority</w:t>
      </w:r>
      <w:r w:rsidR="00D61921" w:rsidRPr="00A11265">
        <w:rPr>
          <w:rFonts w:asciiTheme="minorHAnsi" w:hAnsiTheme="minorHAnsi" w:cs="Arial"/>
        </w:rPr>
        <w:t xml:space="preserve"> Reform Program</w:t>
      </w:r>
      <w:r w:rsidRPr="00A11265">
        <w:rPr>
          <w:rFonts w:asciiTheme="minorHAnsi" w:hAnsiTheme="minorHAnsi" w:cs="Arial"/>
        </w:rPr>
        <w:t xml:space="preserve">, </w:t>
      </w:r>
      <w:r w:rsidR="00170598" w:rsidRPr="00A11265">
        <w:rPr>
          <w:rFonts w:asciiTheme="minorHAnsi" w:hAnsiTheme="minorHAnsi" w:cs="Arial"/>
        </w:rPr>
        <w:t xml:space="preserve">of which this review of </w:t>
      </w:r>
      <w:r w:rsidR="004F20ED" w:rsidRPr="00A11265">
        <w:rPr>
          <w:rFonts w:asciiTheme="minorHAnsi" w:hAnsiTheme="minorHAnsi" w:cs="Arial"/>
        </w:rPr>
        <w:t>essential system services</w:t>
      </w:r>
      <w:r w:rsidR="00170598" w:rsidRPr="00A11265">
        <w:rPr>
          <w:rFonts w:asciiTheme="minorHAnsi" w:hAnsiTheme="minorHAnsi" w:cs="Arial"/>
        </w:rPr>
        <w:t xml:space="preserve"> arrangements forms part. The other k</w:t>
      </w:r>
      <w:r w:rsidR="007E5B41" w:rsidRPr="00A11265">
        <w:rPr>
          <w:rFonts w:asciiTheme="minorHAnsi" w:hAnsiTheme="minorHAnsi" w:cs="Arial"/>
        </w:rPr>
        <w:t>ey reforms</w:t>
      </w:r>
      <w:r w:rsidR="00D61921" w:rsidRPr="00A11265">
        <w:rPr>
          <w:rFonts w:asciiTheme="minorHAnsi" w:hAnsiTheme="minorHAnsi" w:cs="Arial"/>
        </w:rPr>
        <w:t xml:space="preserve"> to the current Interim Northern Territory Electricity Market (I-NTEM) which has operated</w:t>
      </w:r>
      <w:r w:rsidR="000B605F" w:rsidRPr="00A11265">
        <w:rPr>
          <w:rFonts w:asciiTheme="minorHAnsi" w:hAnsiTheme="minorHAnsi" w:cs="Arial"/>
        </w:rPr>
        <w:t xml:space="preserve"> in the Darwin</w:t>
      </w:r>
      <w:r w:rsidR="004F20ED" w:rsidRPr="00A11265">
        <w:rPr>
          <w:rFonts w:asciiTheme="minorHAnsi" w:hAnsiTheme="minorHAnsi" w:cs="Arial"/>
        </w:rPr>
        <w:noBreakHyphen/>
      </w:r>
      <w:r w:rsidR="000B605F" w:rsidRPr="00A11265">
        <w:rPr>
          <w:rFonts w:asciiTheme="minorHAnsi" w:hAnsiTheme="minorHAnsi" w:cs="Arial"/>
        </w:rPr>
        <w:t>Katherine system</w:t>
      </w:r>
      <w:r w:rsidR="00D61921" w:rsidRPr="00A11265">
        <w:rPr>
          <w:rFonts w:asciiTheme="minorHAnsi" w:hAnsiTheme="minorHAnsi" w:cs="Arial"/>
        </w:rPr>
        <w:t xml:space="preserve"> since 2015,</w:t>
      </w:r>
      <w:r w:rsidR="00170598" w:rsidRPr="00A11265">
        <w:rPr>
          <w:rFonts w:asciiTheme="minorHAnsi" w:hAnsiTheme="minorHAnsi" w:cs="Arial"/>
        </w:rPr>
        <w:t xml:space="preserve"> </w:t>
      </w:r>
      <w:r w:rsidR="00516232" w:rsidRPr="00A11265">
        <w:rPr>
          <w:rFonts w:asciiTheme="minorHAnsi" w:hAnsiTheme="minorHAnsi" w:cs="Arial"/>
        </w:rPr>
        <w:t>are:</w:t>
      </w:r>
    </w:p>
    <w:p w14:paraId="424C614E" w14:textId="47DD5429" w:rsidR="00516232" w:rsidRPr="00A11265" w:rsidRDefault="00516232" w:rsidP="001F613E">
      <w:pPr>
        <w:pStyle w:val="ListParagraph"/>
        <w:numPr>
          <w:ilvl w:val="0"/>
          <w:numId w:val="11"/>
        </w:numPr>
        <w:spacing w:before="200"/>
        <w:ind w:left="426"/>
        <w:rPr>
          <w:rFonts w:cs="Arial"/>
        </w:rPr>
      </w:pPr>
      <w:r w:rsidRPr="00A11265">
        <w:rPr>
          <w:rFonts w:cs="Arial"/>
        </w:rPr>
        <w:t>establishing a reliability standard and associated framework for ensuring the standard is met</w:t>
      </w:r>
    </w:p>
    <w:p w14:paraId="66235122" w14:textId="77526FB6" w:rsidR="00CB560D" w:rsidRPr="00A11265" w:rsidRDefault="00CB560D" w:rsidP="001F613E">
      <w:pPr>
        <w:pStyle w:val="ListParagraph"/>
        <w:numPr>
          <w:ilvl w:val="0"/>
          <w:numId w:val="11"/>
        </w:numPr>
        <w:spacing w:before="200"/>
        <w:ind w:left="426"/>
        <w:rPr>
          <w:rFonts w:cs="Arial"/>
        </w:rPr>
      </w:pPr>
      <w:r w:rsidRPr="00A11265">
        <w:rPr>
          <w:rFonts w:cs="Arial"/>
        </w:rPr>
        <w:t xml:space="preserve">changes to dispatch arrangements to improve the efficiency of generator dispatch in the context of </w:t>
      </w:r>
      <w:r w:rsidR="00D1349E" w:rsidRPr="00A11265">
        <w:rPr>
          <w:rFonts w:cs="Arial"/>
        </w:rPr>
        <w:t>significant</w:t>
      </w:r>
      <w:r w:rsidRPr="00A11265">
        <w:rPr>
          <w:rFonts w:cs="Arial"/>
        </w:rPr>
        <w:t xml:space="preserve"> intermittent solar</w:t>
      </w:r>
      <w:r w:rsidR="00213860" w:rsidRPr="00A11265">
        <w:rPr>
          <w:rFonts w:cs="Arial"/>
        </w:rPr>
        <w:t xml:space="preserve"> PV</w:t>
      </w:r>
    </w:p>
    <w:p w14:paraId="73EC6CE6" w14:textId="46DBDC10" w:rsidR="00CB560D" w:rsidRPr="00A11265" w:rsidRDefault="00CB560D" w:rsidP="001F613E">
      <w:pPr>
        <w:pStyle w:val="ListParagraph"/>
        <w:numPr>
          <w:ilvl w:val="0"/>
          <w:numId w:val="11"/>
        </w:numPr>
        <w:spacing w:before="200"/>
        <w:ind w:left="426"/>
        <w:rPr>
          <w:rFonts w:cs="Arial"/>
        </w:rPr>
      </w:pPr>
      <w:proofErr w:type="gramStart"/>
      <w:r w:rsidRPr="00A11265">
        <w:rPr>
          <w:rFonts w:cs="Arial"/>
        </w:rPr>
        <w:t>introduction</w:t>
      </w:r>
      <w:proofErr w:type="gramEnd"/>
      <w:r w:rsidRPr="00A11265">
        <w:rPr>
          <w:rFonts w:cs="Arial"/>
        </w:rPr>
        <w:t xml:space="preserve"> of centralised financial settlement for the energy market to accommodate a range of foreseeable types of contractual arrangements between generators and retailers</w:t>
      </w:r>
      <w:r w:rsidR="00D1349E" w:rsidRPr="00A11265">
        <w:rPr>
          <w:rFonts w:cs="Arial"/>
        </w:rPr>
        <w:t>.</w:t>
      </w:r>
    </w:p>
    <w:p w14:paraId="501AB4CE" w14:textId="1BEC13F8" w:rsidR="007E5B41" w:rsidRPr="00A11265" w:rsidRDefault="007E5B41" w:rsidP="007E5B41">
      <w:pPr>
        <w:rPr>
          <w:rFonts w:asciiTheme="minorHAnsi" w:hAnsiTheme="minorHAnsi" w:cs="Arial"/>
        </w:rPr>
      </w:pPr>
      <w:r w:rsidRPr="00A11265">
        <w:rPr>
          <w:rFonts w:asciiTheme="minorHAnsi" w:hAnsiTheme="minorHAnsi" w:cs="Arial"/>
        </w:rPr>
        <w:t>Of the other priority electricity market reforms, the dispatch and settlement reforms are key precedents</w:t>
      </w:r>
      <w:r w:rsidR="00D61921" w:rsidRPr="00A11265">
        <w:rPr>
          <w:rFonts w:asciiTheme="minorHAnsi" w:hAnsiTheme="minorHAnsi" w:cs="Arial"/>
        </w:rPr>
        <w:t xml:space="preserve"> for this review of </w:t>
      </w:r>
      <w:r w:rsidR="004F20ED" w:rsidRPr="00A11265">
        <w:rPr>
          <w:rFonts w:asciiTheme="minorHAnsi" w:hAnsiTheme="minorHAnsi" w:cs="Arial"/>
        </w:rPr>
        <w:t>essential system services</w:t>
      </w:r>
      <w:r w:rsidRPr="00A11265">
        <w:rPr>
          <w:rFonts w:asciiTheme="minorHAnsi" w:hAnsiTheme="minorHAnsi" w:cs="Arial"/>
        </w:rPr>
        <w:t xml:space="preserve">, as dispatch for energy </w:t>
      </w:r>
      <w:r w:rsidR="00F86E96">
        <w:rPr>
          <w:rFonts w:asciiTheme="minorHAnsi" w:hAnsiTheme="minorHAnsi" w:cs="Arial"/>
        </w:rPr>
        <w:t>may</w:t>
      </w:r>
      <w:r w:rsidRPr="00A11265">
        <w:rPr>
          <w:rFonts w:asciiTheme="minorHAnsi" w:hAnsiTheme="minorHAnsi" w:cs="Arial"/>
        </w:rPr>
        <w:t xml:space="preserve"> need to</w:t>
      </w:r>
      <w:r w:rsidR="00D1349E" w:rsidRPr="00A11265">
        <w:rPr>
          <w:rFonts w:asciiTheme="minorHAnsi" w:hAnsiTheme="minorHAnsi" w:cs="Arial"/>
        </w:rPr>
        <w:t xml:space="preserve"> be coordinated with dispatch for</w:t>
      </w:r>
      <w:r w:rsidRPr="00A11265">
        <w:rPr>
          <w:rFonts w:asciiTheme="minorHAnsi" w:hAnsiTheme="minorHAnsi" w:cs="Arial"/>
        </w:rPr>
        <w:t xml:space="preserve"> </w:t>
      </w:r>
      <w:r w:rsidR="004F20ED" w:rsidRPr="00A11265">
        <w:rPr>
          <w:rFonts w:asciiTheme="minorHAnsi" w:hAnsiTheme="minorHAnsi" w:cs="Arial"/>
        </w:rPr>
        <w:t>essential system services</w:t>
      </w:r>
      <w:r w:rsidRPr="00A11265">
        <w:rPr>
          <w:rFonts w:asciiTheme="minorHAnsi" w:hAnsiTheme="minorHAnsi" w:cs="Arial"/>
        </w:rPr>
        <w:t xml:space="preserve"> and settlement of payments will also be required.</w:t>
      </w:r>
    </w:p>
    <w:p w14:paraId="611C9488" w14:textId="30948B16" w:rsidR="00CB560D" w:rsidRPr="00A11265" w:rsidRDefault="00CB560D" w:rsidP="00CB560D">
      <w:pPr>
        <w:rPr>
          <w:rFonts w:asciiTheme="minorHAnsi" w:hAnsiTheme="minorHAnsi" w:cs="Arial"/>
        </w:rPr>
      </w:pPr>
      <w:r w:rsidRPr="00A11265">
        <w:rPr>
          <w:rFonts w:asciiTheme="minorHAnsi" w:hAnsiTheme="minorHAnsi" w:cs="Arial"/>
        </w:rPr>
        <w:t xml:space="preserve">The </w:t>
      </w:r>
      <w:r w:rsidR="00D1349E" w:rsidRPr="00A11265">
        <w:rPr>
          <w:rFonts w:asciiTheme="minorHAnsi" w:hAnsiTheme="minorHAnsi" w:cs="Arial"/>
        </w:rPr>
        <w:t xml:space="preserve">announcement of the Government’s </w:t>
      </w:r>
      <w:r w:rsidR="00213860" w:rsidRPr="00A11265">
        <w:rPr>
          <w:rFonts w:asciiTheme="minorHAnsi" w:hAnsiTheme="minorHAnsi" w:cs="Arial"/>
        </w:rPr>
        <w:t>Priority Reform Program</w:t>
      </w:r>
      <w:r w:rsidRPr="00A11265">
        <w:rPr>
          <w:rFonts w:asciiTheme="minorHAnsi" w:hAnsiTheme="minorHAnsi" w:cs="Arial"/>
        </w:rPr>
        <w:t xml:space="preserve"> follow</w:t>
      </w:r>
      <w:r w:rsidR="00384A16" w:rsidRPr="00A11265">
        <w:rPr>
          <w:rFonts w:asciiTheme="minorHAnsi" w:hAnsiTheme="minorHAnsi" w:cs="Arial"/>
        </w:rPr>
        <w:t>s</w:t>
      </w:r>
      <w:r w:rsidRPr="00A11265">
        <w:rPr>
          <w:rFonts w:asciiTheme="minorHAnsi" w:hAnsiTheme="minorHAnsi" w:cs="Arial"/>
        </w:rPr>
        <w:t xml:space="preserve"> public consultation by the Department of Treasury and Finance on the development of </w:t>
      </w:r>
      <w:r w:rsidR="00D24175" w:rsidRPr="00A11265">
        <w:rPr>
          <w:rFonts w:asciiTheme="minorHAnsi" w:hAnsiTheme="minorHAnsi" w:cs="Arial"/>
        </w:rPr>
        <w:t>a</w:t>
      </w:r>
      <w:r w:rsidR="00CE0480" w:rsidRPr="00A11265">
        <w:rPr>
          <w:rFonts w:asciiTheme="minorHAnsi" w:hAnsiTheme="minorHAnsi" w:cs="Arial"/>
        </w:rPr>
        <w:t xml:space="preserve"> </w:t>
      </w:r>
      <w:r w:rsidRPr="00A11265">
        <w:rPr>
          <w:rFonts w:asciiTheme="minorHAnsi" w:hAnsiTheme="minorHAnsi" w:cs="Arial"/>
        </w:rPr>
        <w:t xml:space="preserve">market design for the </w:t>
      </w:r>
      <w:r w:rsidR="00F17647">
        <w:rPr>
          <w:rFonts w:asciiTheme="minorHAnsi" w:hAnsiTheme="minorHAnsi" w:cs="Arial"/>
        </w:rPr>
        <w:t>NTEM</w:t>
      </w:r>
      <w:r w:rsidR="00516232" w:rsidRPr="00A11265">
        <w:rPr>
          <w:rStyle w:val="FootnoteReference"/>
          <w:rFonts w:asciiTheme="minorHAnsi" w:hAnsiTheme="minorHAnsi" w:cs="Arial"/>
        </w:rPr>
        <w:footnoteReference w:id="3"/>
      </w:r>
      <w:r w:rsidRPr="00A11265">
        <w:rPr>
          <w:rFonts w:asciiTheme="minorHAnsi" w:hAnsiTheme="minorHAnsi" w:cs="Arial"/>
        </w:rPr>
        <w:t>.</w:t>
      </w:r>
    </w:p>
    <w:p w14:paraId="0E2B57AB" w14:textId="1794A042" w:rsidR="00CB560D" w:rsidRPr="00A11265" w:rsidRDefault="00CB560D" w:rsidP="00D9724C">
      <w:pPr>
        <w:pStyle w:val="Heading3"/>
        <w:rPr>
          <w:szCs w:val="24"/>
          <w:lang w:eastAsia="en-AU"/>
        </w:rPr>
      </w:pPr>
      <w:bookmarkStart w:id="47" w:name="_Toc58156920"/>
      <w:bookmarkStart w:id="48" w:name="_Toc58207471"/>
      <w:bookmarkEnd w:id="47"/>
      <w:bookmarkEnd w:id="48"/>
      <w:r w:rsidRPr="00A11265">
        <w:rPr>
          <w:szCs w:val="24"/>
          <w:lang w:eastAsia="en-AU"/>
        </w:rPr>
        <w:t xml:space="preserve">Generator </w:t>
      </w:r>
      <w:r w:rsidR="00BF70FC" w:rsidRPr="00A11265">
        <w:rPr>
          <w:szCs w:val="24"/>
          <w:lang w:eastAsia="en-AU"/>
        </w:rPr>
        <w:t>P</w:t>
      </w:r>
      <w:r w:rsidRPr="00A11265">
        <w:rPr>
          <w:szCs w:val="24"/>
          <w:lang w:eastAsia="en-AU"/>
        </w:rPr>
        <w:t xml:space="preserve">erformance </w:t>
      </w:r>
      <w:r w:rsidR="00BF70FC" w:rsidRPr="00A11265">
        <w:rPr>
          <w:szCs w:val="24"/>
          <w:lang w:eastAsia="en-AU"/>
        </w:rPr>
        <w:t>S</w:t>
      </w:r>
      <w:r w:rsidRPr="00A11265">
        <w:rPr>
          <w:szCs w:val="24"/>
          <w:lang w:eastAsia="en-AU"/>
        </w:rPr>
        <w:t>tandards</w:t>
      </w:r>
    </w:p>
    <w:p w14:paraId="2FCEFB43" w14:textId="4DA8891B" w:rsidR="00CB560D" w:rsidRPr="00A11265" w:rsidRDefault="00CB560D" w:rsidP="00CB560D">
      <w:pPr>
        <w:rPr>
          <w:rFonts w:asciiTheme="minorHAnsi" w:hAnsiTheme="minorHAnsi" w:cs="Arial"/>
        </w:rPr>
      </w:pPr>
      <w:r w:rsidRPr="00A11265">
        <w:rPr>
          <w:rFonts w:asciiTheme="minorHAnsi" w:hAnsiTheme="minorHAnsi" w:cs="Arial"/>
        </w:rPr>
        <w:t xml:space="preserve">New Generator Performance Standards (GPS) </w:t>
      </w:r>
      <w:r w:rsidR="00D24175" w:rsidRPr="00A11265">
        <w:rPr>
          <w:rFonts w:asciiTheme="minorHAnsi" w:hAnsiTheme="minorHAnsi" w:cs="Arial"/>
        </w:rPr>
        <w:t>approved by the Utilities Commission in March 2020</w:t>
      </w:r>
      <w:r w:rsidRPr="00A11265">
        <w:rPr>
          <w:rFonts w:asciiTheme="minorHAnsi" w:hAnsiTheme="minorHAnsi" w:cs="Arial"/>
        </w:rPr>
        <w:t xml:space="preserve"> require that all new</w:t>
      </w:r>
      <w:r w:rsidR="00B967F2" w:rsidRPr="00A11265">
        <w:rPr>
          <w:rFonts w:asciiTheme="minorHAnsi" w:hAnsiTheme="minorHAnsi" w:cs="Arial"/>
        </w:rPr>
        <w:t xml:space="preserve"> licenced</w:t>
      </w:r>
      <w:r w:rsidRPr="00A11265">
        <w:rPr>
          <w:rFonts w:asciiTheme="minorHAnsi" w:hAnsiTheme="minorHAnsi" w:cs="Arial"/>
        </w:rPr>
        <w:t xml:space="preserve"> generators are predictable and controllable. As a result, new large</w:t>
      </w:r>
      <w:r w:rsidRPr="00A11265">
        <w:rPr>
          <w:rFonts w:asciiTheme="minorHAnsi" w:hAnsiTheme="minorHAnsi" w:cs="Arial"/>
        </w:rPr>
        <w:noBreakHyphen/>
        <w:t>scale solar PV should not substantially add to the requirement for additional system services, and if required, can be otherwise controlled to avoid compromise to system security.</w:t>
      </w:r>
    </w:p>
    <w:p w14:paraId="3289FF66" w14:textId="4727450F" w:rsidR="00CB560D" w:rsidRPr="00A11265" w:rsidRDefault="00CB560D" w:rsidP="00CB560D">
      <w:pPr>
        <w:rPr>
          <w:rFonts w:asciiTheme="minorHAnsi" w:hAnsiTheme="minorHAnsi" w:cs="Arial"/>
        </w:rPr>
      </w:pPr>
      <w:r w:rsidRPr="00A11265">
        <w:rPr>
          <w:rFonts w:asciiTheme="minorHAnsi" w:hAnsiTheme="minorHAnsi" w:cs="Arial"/>
        </w:rPr>
        <w:t xml:space="preserve">However, the GPS imposes mandatory </w:t>
      </w:r>
      <w:r w:rsidR="004F20ED" w:rsidRPr="00A11265">
        <w:rPr>
          <w:rFonts w:asciiTheme="minorHAnsi" w:hAnsiTheme="minorHAnsi" w:cs="Arial"/>
        </w:rPr>
        <w:t>essential system services</w:t>
      </w:r>
      <w:r w:rsidRPr="00A11265">
        <w:rPr>
          <w:rFonts w:asciiTheme="minorHAnsi" w:hAnsiTheme="minorHAnsi" w:cs="Arial"/>
        </w:rPr>
        <w:t xml:space="preserve"> (frequency management) capability on generators, subject to energy source availability. This effectively means that large-scale solar PV may be called on to provide contingency lower frequency control services, but would not have their output constrained to provide contingency raise frequency control services. Given new large-scale solar PV will have capability to provide some kinds of </w:t>
      </w:r>
      <w:r w:rsidR="004F20ED" w:rsidRPr="00A11265">
        <w:rPr>
          <w:rFonts w:asciiTheme="minorHAnsi" w:hAnsiTheme="minorHAnsi" w:cs="Arial"/>
        </w:rPr>
        <w:t>essential system services</w:t>
      </w:r>
      <w:r w:rsidRPr="00A11265">
        <w:rPr>
          <w:rFonts w:asciiTheme="minorHAnsi" w:hAnsiTheme="minorHAnsi" w:cs="Arial"/>
        </w:rPr>
        <w:t>, there is added impetus to ensure</w:t>
      </w:r>
      <w:r w:rsidR="00D24175" w:rsidRPr="00A11265">
        <w:rPr>
          <w:rFonts w:asciiTheme="minorHAnsi" w:hAnsiTheme="minorHAnsi" w:cs="Arial"/>
        </w:rPr>
        <w:t xml:space="preserve"> </w:t>
      </w:r>
      <w:r w:rsidR="00E155E0" w:rsidRPr="00A11265">
        <w:rPr>
          <w:rFonts w:asciiTheme="minorHAnsi" w:hAnsiTheme="minorHAnsi" w:cs="Arial"/>
        </w:rPr>
        <w:t>it</w:t>
      </w:r>
      <w:r w:rsidRPr="00A11265">
        <w:rPr>
          <w:rFonts w:asciiTheme="minorHAnsi" w:hAnsiTheme="minorHAnsi" w:cs="Arial"/>
        </w:rPr>
        <w:t xml:space="preserve"> can be compensated</w:t>
      </w:r>
      <w:r w:rsidR="00213860" w:rsidRPr="00A11265">
        <w:rPr>
          <w:rFonts w:asciiTheme="minorHAnsi" w:hAnsiTheme="minorHAnsi" w:cs="Arial"/>
        </w:rPr>
        <w:t xml:space="preserve"> for this</w:t>
      </w:r>
      <w:r w:rsidR="00F86E96">
        <w:rPr>
          <w:rFonts w:asciiTheme="minorHAnsi" w:hAnsiTheme="minorHAnsi" w:cs="Arial"/>
        </w:rPr>
        <w:t xml:space="preserve"> when enlisted</w:t>
      </w:r>
      <w:r w:rsidRPr="00A11265">
        <w:rPr>
          <w:rFonts w:asciiTheme="minorHAnsi" w:hAnsiTheme="minorHAnsi" w:cs="Arial"/>
        </w:rPr>
        <w:t>.</w:t>
      </w:r>
    </w:p>
    <w:p w14:paraId="24FA6882" w14:textId="4605D10A" w:rsidR="0013238B" w:rsidRPr="00A11265" w:rsidRDefault="001A7E21" w:rsidP="00CB560D">
      <w:pPr>
        <w:rPr>
          <w:rFonts w:asciiTheme="minorHAnsi" w:hAnsiTheme="minorHAnsi" w:cs="Arial"/>
        </w:rPr>
      </w:pPr>
      <w:r w:rsidRPr="00A11265">
        <w:rPr>
          <w:rFonts w:asciiTheme="minorHAnsi" w:hAnsiTheme="minorHAnsi" w:cs="Arial"/>
        </w:rPr>
        <w:t xml:space="preserve">In its </w:t>
      </w:r>
      <w:r w:rsidR="0013238B" w:rsidRPr="00A11265">
        <w:rPr>
          <w:rFonts w:asciiTheme="minorHAnsi" w:hAnsiTheme="minorHAnsi" w:cs="Arial"/>
        </w:rPr>
        <w:t>submission</w:t>
      </w:r>
      <w:r w:rsidRPr="00A11265">
        <w:rPr>
          <w:rFonts w:asciiTheme="minorHAnsi" w:hAnsiTheme="minorHAnsi" w:cs="Arial"/>
        </w:rPr>
        <w:t xml:space="preserve"> to the Issues Paper</w:t>
      </w:r>
      <w:r w:rsidR="0013238B" w:rsidRPr="00A11265">
        <w:rPr>
          <w:rFonts w:asciiTheme="minorHAnsi" w:hAnsiTheme="minorHAnsi" w:cs="Arial"/>
        </w:rPr>
        <w:t>, E</w:t>
      </w:r>
      <w:r w:rsidR="00DA44B5">
        <w:rPr>
          <w:rFonts w:asciiTheme="minorHAnsi" w:hAnsiTheme="minorHAnsi" w:cs="Arial"/>
        </w:rPr>
        <w:t>ni</w:t>
      </w:r>
      <w:r w:rsidR="0013238B" w:rsidRPr="00A11265">
        <w:rPr>
          <w:rFonts w:asciiTheme="minorHAnsi" w:hAnsiTheme="minorHAnsi" w:cs="Arial"/>
        </w:rPr>
        <w:t xml:space="preserve"> Australia </w:t>
      </w:r>
      <w:r w:rsidR="00D664D5" w:rsidRPr="00A11265">
        <w:rPr>
          <w:rFonts w:asciiTheme="minorHAnsi" w:hAnsiTheme="minorHAnsi" w:cs="Arial"/>
        </w:rPr>
        <w:t>stated</w:t>
      </w:r>
      <w:r w:rsidR="0013238B" w:rsidRPr="00A11265">
        <w:rPr>
          <w:rFonts w:asciiTheme="minorHAnsi" w:hAnsiTheme="minorHAnsi" w:cs="Arial"/>
        </w:rPr>
        <w:t xml:space="preserve"> </w:t>
      </w:r>
      <w:r w:rsidR="00D664D5" w:rsidRPr="00A11265">
        <w:rPr>
          <w:rFonts w:asciiTheme="minorHAnsi" w:hAnsiTheme="minorHAnsi" w:cs="Arial"/>
        </w:rPr>
        <w:t xml:space="preserve">that limited reference was made to the capacity forecasting requirements of the GPS. The Design Development Team has included commentary on the </w:t>
      </w:r>
      <w:r w:rsidRPr="00A11265">
        <w:rPr>
          <w:rFonts w:asciiTheme="minorHAnsi" w:hAnsiTheme="minorHAnsi" w:cs="Arial"/>
        </w:rPr>
        <w:t xml:space="preserve">GPS </w:t>
      </w:r>
      <w:r w:rsidR="00D664D5" w:rsidRPr="00A11265">
        <w:rPr>
          <w:rFonts w:asciiTheme="minorHAnsi" w:hAnsiTheme="minorHAnsi" w:cs="Arial"/>
        </w:rPr>
        <w:t xml:space="preserve">capacity forecasting requirements at various points in this Draft </w:t>
      </w:r>
      <w:r w:rsidR="00FB2629">
        <w:rPr>
          <w:rFonts w:asciiTheme="minorHAnsi" w:hAnsiTheme="minorHAnsi" w:cs="Arial"/>
        </w:rPr>
        <w:t>Position Paper</w:t>
      </w:r>
      <w:r w:rsidR="007804BF" w:rsidRPr="00A11265">
        <w:rPr>
          <w:rFonts w:asciiTheme="minorHAnsi" w:hAnsiTheme="minorHAnsi" w:cs="Arial"/>
        </w:rPr>
        <w:t>, as</w:t>
      </w:r>
      <w:r w:rsidR="00D664D5" w:rsidRPr="00A11265">
        <w:rPr>
          <w:rFonts w:asciiTheme="minorHAnsi" w:hAnsiTheme="minorHAnsi" w:cs="Arial"/>
        </w:rPr>
        <w:t xml:space="preserve"> relevant to the review scope.</w:t>
      </w:r>
    </w:p>
    <w:p w14:paraId="7317BF86" w14:textId="5DE8A93A" w:rsidR="00CB560D" w:rsidRPr="00A11265" w:rsidRDefault="00CB560D" w:rsidP="00D9724C">
      <w:pPr>
        <w:pStyle w:val="Heading3"/>
        <w:keepNext/>
        <w:rPr>
          <w:szCs w:val="24"/>
          <w:lang w:eastAsia="en-AU"/>
        </w:rPr>
      </w:pPr>
      <w:bookmarkStart w:id="49" w:name="_Toc58786442"/>
      <w:bookmarkStart w:id="50" w:name="_Toc58786443"/>
      <w:bookmarkEnd w:id="49"/>
      <w:bookmarkEnd w:id="50"/>
      <w:r w:rsidRPr="00A11265">
        <w:rPr>
          <w:szCs w:val="24"/>
          <w:lang w:eastAsia="en-AU"/>
        </w:rPr>
        <w:lastRenderedPageBreak/>
        <w:t>Large-scale battery for the Darwin-Katherine system</w:t>
      </w:r>
    </w:p>
    <w:p w14:paraId="711B5EDA" w14:textId="41B9AAB5" w:rsidR="00CB560D" w:rsidRPr="00A11265" w:rsidRDefault="00CB560D" w:rsidP="00CB560D">
      <w:pPr>
        <w:rPr>
          <w:rFonts w:asciiTheme="minorHAnsi" w:hAnsiTheme="minorHAnsi" w:cs="Arial"/>
        </w:rPr>
      </w:pPr>
      <w:r w:rsidRPr="00A11265">
        <w:rPr>
          <w:rFonts w:asciiTheme="minorHAnsi" w:hAnsiTheme="minorHAnsi" w:cs="Arial"/>
        </w:rPr>
        <w:t>The N</w:t>
      </w:r>
      <w:r w:rsidR="00213860" w:rsidRPr="00A11265">
        <w:rPr>
          <w:rFonts w:asciiTheme="minorHAnsi" w:hAnsiTheme="minorHAnsi" w:cs="Arial"/>
        </w:rPr>
        <w:t>T</w:t>
      </w:r>
      <w:r w:rsidRPr="00A11265">
        <w:rPr>
          <w:rFonts w:asciiTheme="minorHAnsi" w:hAnsiTheme="minorHAnsi" w:cs="Arial"/>
        </w:rPr>
        <w:t xml:space="preserve"> Government has recently approved</w:t>
      </w:r>
      <w:r w:rsidR="00F86E96">
        <w:rPr>
          <w:rFonts w:asciiTheme="minorHAnsi" w:hAnsiTheme="minorHAnsi" w:cs="Arial"/>
        </w:rPr>
        <w:t xml:space="preserve"> in-principle</w:t>
      </w:r>
      <w:r w:rsidRPr="00A11265">
        <w:rPr>
          <w:rFonts w:asciiTheme="minorHAnsi" w:hAnsiTheme="minorHAnsi" w:cs="Arial"/>
        </w:rPr>
        <w:t xml:space="preserve"> the procurement of a large</w:t>
      </w:r>
      <w:r w:rsidRPr="00A11265">
        <w:rPr>
          <w:rFonts w:asciiTheme="minorHAnsi" w:hAnsiTheme="minorHAnsi" w:cs="Arial"/>
        </w:rPr>
        <w:noBreakHyphen/>
        <w:t xml:space="preserve">scale Battery Energy Storage System (BESS) for the Darwin-Katherine system to more efficiently provide </w:t>
      </w:r>
      <w:r w:rsidR="00213860" w:rsidRPr="00A11265">
        <w:rPr>
          <w:rFonts w:asciiTheme="minorHAnsi" w:hAnsiTheme="minorHAnsi" w:cs="Arial"/>
        </w:rPr>
        <w:t>essential system services</w:t>
      </w:r>
      <w:r w:rsidRPr="00A11265">
        <w:rPr>
          <w:rFonts w:asciiTheme="minorHAnsi" w:hAnsiTheme="minorHAnsi" w:cs="Arial"/>
        </w:rPr>
        <w:t>. The BESS is intended to deliver:</w:t>
      </w:r>
    </w:p>
    <w:p w14:paraId="4212D60B" w14:textId="77777777" w:rsidR="00CB560D" w:rsidRPr="00A11265" w:rsidRDefault="00CB560D" w:rsidP="001F613E">
      <w:pPr>
        <w:pStyle w:val="ListParagraph"/>
        <w:numPr>
          <w:ilvl w:val="0"/>
          <w:numId w:val="11"/>
        </w:numPr>
        <w:spacing w:before="200"/>
        <w:ind w:left="426"/>
        <w:rPr>
          <w:rFonts w:cs="Arial"/>
        </w:rPr>
      </w:pPr>
      <w:r w:rsidRPr="00A11265">
        <w:rPr>
          <w:rFonts w:cs="Arial"/>
        </w:rPr>
        <w:t>increased stability and reliability of power supply from reduced reliance on gas-fired generation</w:t>
      </w:r>
    </w:p>
    <w:p w14:paraId="67AA3FC8" w14:textId="77777777" w:rsidR="00CB560D" w:rsidRPr="00A11265" w:rsidRDefault="00CB560D" w:rsidP="001F613E">
      <w:pPr>
        <w:pStyle w:val="ListParagraph"/>
        <w:numPr>
          <w:ilvl w:val="0"/>
          <w:numId w:val="11"/>
        </w:numPr>
        <w:spacing w:before="200"/>
        <w:ind w:left="426"/>
        <w:rPr>
          <w:rFonts w:cs="Arial"/>
        </w:rPr>
      </w:pPr>
      <w:r w:rsidRPr="00A11265">
        <w:rPr>
          <w:rFonts w:cs="Arial"/>
        </w:rPr>
        <w:t>reduction in carbon emissions</w:t>
      </w:r>
    </w:p>
    <w:p w14:paraId="095DC90E" w14:textId="6A2E7C74" w:rsidR="00CB560D" w:rsidRPr="00A11265" w:rsidRDefault="00CB560D" w:rsidP="001F613E">
      <w:pPr>
        <w:pStyle w:val="ListParagraph"/>
        <w:numPr>
          <w:ilvl w:val="0"/>
          <w:numId w:val="11"/>
        </w:numPr>
        <w:spacing w:before="200"/>
        <w:ind w:left="426"/>
        <w:rPr>
          <w:rFonts w:cs="Arial"/>
        </w:rPr>
      </w:pPr>
      <w:proofErr w:type="gramStart"/>
      <w:r w:rsidRPr="00A11265">
        <w:rPr>
          <w:rFonts w:cs="Arial"/>
        </w:rPr>
        <w:t>reduction</w:t>
      </w:r>
      <w:proofErr w:type="gramEnd"/>
      <w:r w:rsidRPr="00A11265">
        <w:rPr>
          <w:rFonts w:cs="Arial"/>
        </w:rPr>
        <w:t xml:space="preserve"> in costs for T</w:t>
      </w:r>
      <w:r w:rsidR="006A704A">
        <w:rPr>
          <w:rFonts w:cs="Arial"/>
        </w:rPr>
        <w:noBreakHyphen/>
        <w:t>Gen</w:t>
      </w:r>
      <w:r w:rsidRPr="00A11265">
        <w:rPr>
          <w:rFonts w:cs="Arial"/>
        </w:rPr>
        <w:t>.</w:t>
      </w:r>
    </w:p>
    <w:p w14:paraId="1C5ADB26" w14:textId="41E377E6" w:rsidR="004F20ED" w:rsidRPr="00A11265" w:rsidRDefault="00CB560D" w:rsidP="00CB560D">
      <w:pPr>
        <w:rPr>
          <w:rFonts w:asciiTheme="minorHAnsi" w:hAnsiTheme="minorHAnsi" w:cs="Arial"/>
        </w:rPr>
      </w:pPr>
      <w:r w:rsidRPr="00A11265">
        <w:rPr>
          <w:rFonts w:asciiTheme="minorHAnsi" w:hAnsiTheme="minorHAnsi" w:cs="Arial"/>
        </w:rPr>
        <w:t>Procurement will take place in 2020</w:t>
      </w:r>
      <w:r w:rsidR="00A60F6B">
        <w:rPr>
          <w:rFonts w:asciiTheme="minorHAnsi" w:hAnsiTheme="minorHAnsi" w:cs="Arial"/>
        </w:rPr>
        <w:t>-</w:t>
      </w:r>
      <w:r w:rsidR="00610657">
        <w:rPr>
          <w:rFonts w:asciiTheme="minorHAnsi" w:hAnsiTheme="minorHAnsi" w:cs="Arial"/>
        </w:rPr>
        <w:t>21</w:t>
      </w:r>
      <w:r w:rsidRPr="00A11265">
        <w:rPr>
          <w:rFonts w:asciiTheme="minorHAnsi" w:hAnsiTheme="minorHAnsi" w:cs="Arial"/>
        </w:rPr>
        <w:t xml:space="preserve"> with the BESS expected to become operational in</w:t>
      </w:r>
      <w:r w:rsidR="0088374A">
        <w:rPr>
          <w:rFonts w:asciiTheme="minorHAnsi" w:hAnsiTheme="minorHAnsi" w:cs="Arial"/>
        </w:rPr>
        <w:t xml:space="preserve"> the second half of 2022</w:t>
      </w:r>
      <w:r w:rsidRPr="00A11265">
        <w:rPr>
          <w:rFonts w:asciiTheme="minorHAnsi" w:hAnsiTheme="minorHAnsi" w:cs="Arial"/>
        </w:rPr>
        <w:t xml:space="preserve">. Notwithstanding the broader scope of this review, the introduction of the BESS will require reform to the existing </w:t>
      </w:r>
      <w:r w:rsidR="00B6484C" w:rsidRPr="00A11265">
        <w:rPr>
          <w:rFonts w:asciiTheme="minorHAnsi" w:hAnsiTheme="minorHAnsi" w:cs="Arial"/>
        </w:rPr>
        <w:t>essential system service</w:t>
      </w:r>
      <w:r w:rsidRPr="00A11265">
        <w:rPr>
          <w:rFonts w:asciiTheme="minorHAnsi" w:hAnsiTheme="minorHAnsi" w:cs="Arial"/>
        </w:rPr>
        <w:t xml:space="preserve"> arrangements</w:t>
      </w:r>
      <w:r w:rsidR="00F86E96">
        <w:rPr>
          <w:rFonts w:asciiTheme="minorHAnsi" w:hAnsiTheme="minorHAnsi" w:cs="Arial"/>
        </w:rPr>
        <w:t xml:space="preserve"> to be effective</w:t>
      </w:r>
      <w:r w:rsidRPr="00A11265">
        <w:rPr>
          <w:rFonts w:asciiTheme="minorHAnsi" w:hAnsiTheme="minorHAnsi" w:cs="Arial"/>
        </w:rPr>
        <w:t>.</w:t>
      </w:r>
    </w:p>
    <w:p w14:paraId="1C0A5564" w14:textId="5441B77B" w:rsidR="00DB5B66" w:rsidRPr="00A11265" w:rsidRDefault="00DB5B66" w:rsidP="00F51F16">
      <w:pPr>
        <w:pStyle w:val="Heading3"/>
        <w:keepNext/>
        <w:rPr>
          <w:szCs w:val="24"/>
          <w:lang w:eastAsia="en-AU"/>
        </w:rPr>
      </w:pPr>
      <w:r w:rsidRPr="00A11265">
        <w:rPr>
          <w:szCs w:val="24"/>
          <w:lang w:eastAsia="en-AU"/>
        </w:rPr>
        <w:t>Adoption of the National Electricity Rules</w:t>
      </w:r>
    </w:p>
    <w:p w14:paraId="542E426E" w14:textId="06D82237" w:rsidR="00DB5B66" w:rsidRPr="00A11265" w:rsidRDefault="00DB5B66" w:rsidP="00DB5B66">
      <w:pPr>
        <w:rPr>
          <w:rFonts w:asciiTheme="minorHAnsi" w:hAnsiTheme="minorHAnsi" w:cs="Arial"/>
        </w:rPr>
      </w:pPr>
      <w:r w:rsidRPr="00A11265">
        <w:rPr>
          <w:rFonts w:asciiTheme="minorHAnsi" w:hAnsiTheme="minorHAnsi" w:cs="Arial"/>
        </w:rPr>
        <w:t xml:space="preserve">The </w:t>
      </w:r>
      <w:r w:rsidRPr="00A23B49">
        <w:rPr>
          <w:rFonts w:asciiTheme="minorHAnsi" w:hAnsiTheme="minorHAnsi" w:cs="Arial"/>
          <w:i/>
        </w:rPr>
        <w:t>National Electricity (Northern Territory) (National Uniform Legislation) Act 2015</w:t>
      </w:r>
      <w:r w:rsidRPr="00A11265">
        <w:rPr>
          <w:rFonts w:asciiTheme="minorHAnsi" w:hAnsiTheme="minorHAnsi" w:cs="Arial"/>
        </w:rPr>
        <w:t xml:space="preserve"> (NT) provides for the adoption of the National Electricity Law and the National Electricity Rules (NER) in the Territory from 1 July 2016.</w:t>
      </w:r>
    </w:p>
    <w:p w14:paraId="27CFEFCD" w14:textId="72F7052F" w:rsidR="00DB5B66" w:rsidRPr="00A11265" w:rsidRDefault="00DB5B66" w:rsidP="00DB5B66">
      <w:pPr>
        <w:rPr>
          <w:rFonts w:asciiTheme="minorHAnsi" w:hAnsiTheme="minorHAnsi" w:cs="Arial"/>
        </w:rPr>
      </w:pPr>
      <w:r w:rsidRPr="00A11265">
        <w:rPr>
          <w:rFonts w:asciiTheme="minorHAnsi" w:hAnsiTheme="minorHAnsi" w:cs="Arial"/>
        </w:rPr>
        <w:t xml:space="preserve">The Northern Territory NER, a version of the NER modified by regulations to suit the </w:t>
      </w:r>
      <w:r w:rsidR="00DA2687">
        <w:rPr>
          <w:rFonts w:asciiTheme="minorHAnsi" w:hAnsiTheme="minorHAnsi" w:cs="Arial"/>
        </w:rPr>
        <w:t>NT</w:t>
      </w:r>
      <w:r w:rsidRPr="00A11265">
        <w:rPr>
          <w:rFonts w:asciiTheme="minorHAnsi" w:hAnsiTheme="minorHAnsi" w:cs="Arial"/>
        </w:rPr>
        <w:t xml:space="preserve">'s circumstances, govern the arrangements for metering, economic regulation and network connection in the regulated </w:t>
      </w:r>
      <w:r w:rsidR="00DA2687">
        <w:rPr>
          <w:rFonts w:asciiTheme="minorHAnsi" w:hAnsiTheme="minorHAnsi" w:cs="Arial"/>
        </w:rPr>
        <w:t>power</w:t>
      </w:r>
      <w:r w:rsidRPr="00A11265">
        <w:rPr>
          <w:rFonts w:asciiTheme="minorHAnsi" w:hAnsiTheme="minorHAnsi" w:cs="Arial"/>
        </w:rPr>
        <w:t xml:space="preserve"> systems.</w:t>
      </w:r>
    </w:p>
    <w:p w14:paraId="2B7E16F5" w14:textId="098EC0C8" w:rsidR="00DB5B66" w:rsidRPr="00A11265" w:rsidRDefault="00DB5B66" w:rsidP="00DB5B66">
      <w:pPr>
        <w:rPr>
          <w:rFonts w:asciiTheme="minorHAnsi" w:hAnsiTheme="minorHAnsi" w:cs="Arial"/>
        </w:rPr>
      </w:pPr>
      <w:r w:rsidRPr="00A11265">
        <w:rPr>
          <w:rFonts w:asciiTheme="minorHAnsi" w:hAnsiTheme="minorHAnsi" w:cs="Arial"/>
        </w:rPr>
        <w:t xml:space="preserve">The </w:t>
      </w:r>
      <w:r w:rsidR="00F17647">
        <w:rPr>
          <w:rFonts w:asciiTheme="minorHAnsi" w:hAnsiTheme="minorHAnsi" w:cs="Arial"/>
        </w:rPr>
        <w:t>NT</w:t>
      </w:r>
      <w:r w:rsidRPr="00A11265">
        <w:rPr>
          <w:rFonts w:asciiTheme="minorHAnsi" w:hAnsiTheme="minorHAnsi" w:cs="Arial"/>
        </w:rPr>
        <w:t xml:space="preserve"> has not applied a number of components of the NER, including those governing the operation of wholesale markets and power system security, which continue to be governed by the SCTC and NTC.</w:t>
      </w:r>
      <w:r w:rsidR="00622153" w:rsidRPr="00A11265">
        <w:rPr>
          <w:rFonts w:asciiTheme="minorHAnsi" w:hAnsiTheme="minorHAnsi" w:cs="Arial"/>
        </w:rPr>
        <w:t xml:space="preserve"> </w:t>
      </w:r>
      <w:r w:rsidRPr="00A11265">
        <w:rPr>
          <w:rFonts w:asciiTheme="minorHAnsi" w:hAnsiTheme="minorHAnsi" w:cs="Arial"/>
        </w:rPr>
        <w:t>T</w:t>
      </w:r>
      <w:r w:rsidR="006A704A">
        <w:rPr>
          <w:rFonts w:asciiTheme="minorHAnsi" w:hAnsiTheme="minorHAnsi" w:cs="Arial"/>
        </w:rPr>
        <w:noBreakHyphen/>
        <w:t>Gen</w:t>
      </w:r>
      <w:r w:rsidRPr="00A11265">
        <w:rPr>
          <w:rFonts w:asciiTheme="minorHAnsi" w:hAnsiTheme="minorHAnsi" w:cs="Arial"/>
        </w:rPr>
        <w:t xml:space="preserve">, in its submission to the Issues Paper, highlighted that </w:t>
      </w:r>
      <w:r w:rsidR="00622153" w:rsidRPr="00A11265">
        <w:rPr>
          <w:rFonts w:asciiTheme="minorHAnsi" w:hAnsiTheme="minorHAnsi" w:cs="Arial"/>
        </w:rPr>
        <w:t xml:space="preserve">the NT has </w:t>
      </w:r>
      <w:r w:rsidR="00023BA5" w:rsidRPr="00A11265">
        <w:rPr>
          <w:rFonts w:asciiTheme="minorHAnsi" w:hAnsiTheme="minorHAnsi" w:cs="Arial"/>
        </w:rPr>
        <w:t>not applied sections</w:t>
      </w:r>
      <w:r w:rsidR="00D0328B" w:rsidRPr="00A11265">
        <w:rPr>
          <w:rFonts w:asciiTheme="minorHAnsi" w:hAnsiTheme="minorHAnsi" w:cs="Arial"/>
        </w:rPr>
        <w:t xml:space="preserve"> of the NER</w:t>
      </w:r>
      <w:r w:rsidR="00023BA5" w:rsidRPr="00A11265">
        <w:rPr>
          <w:rFonts w:asciiTheme="minorHAnsi" w:hAnsiTheme="minorHAnsi" w:cs="Arial"/>
        </w:rPr>
        <w:t xml:space="preserve"> relevant to essential system services, which are to be revisited as part of the phased implementation o</w:t>
      </w:r>
      <w:r w:rsidR="00D0328B" w:rsidRPr="00A11265">
        <w:rPr>
          <w:rFonts w:asciiTheme="minorHAnsi" w:hAnsiTheme="minorHAnsi" w:cs="Arial"/>
        </w:rPr>
        <w:t>f the NER</w:t>
      </w:r>
      <w:r w:rsidR="00023BA5" w:rsidRPr="00A11265">
        <w:rPr>
          <w:rFonts w:asciiTheme="minorHAnsi" w:hAnsiTheme="minorHAnsi" w:cs="Arial"/>
        </w:rPr>
        <w:t xml:space="preserve"> in the NT, including:</w:t>
      </w:r>
    </w:p>
    <w:p w14:paraId="161FE904" w14:textId="58619469" w:rsidR="00023BA5" w:rsidRPr="00A11265" w:rsidRDefault="00023BA5" w:rsidP="00F51F16">
      <w:pPr>
        <w:pStyle w:val="ListParagraph"/>
        <w:numPr>
          <w:ilvl w:val="0"/>
          <w:numId w:val="26"/>
        </w:numPr>
        <w:rPr>
          <w:rFonts w:asciiTheme="minorHAnsi" w:hAnsiTheme="minorHAnsi" w:cs="Arial"/>
        </w:rPr>
      </w:pPr>
      <w:r w:rsidRPr="00A11265">
        <w:rPr>
          <w:rFonts w:asciiTheme="minorHAnsi" w:hAnsiTheme="minorHAnsi" w:cs="Arial"/>
        </w:rPr>
        <w:t>5.3A.12 Network support payments and functions</w:t>
      </w:r>
    </w:p>
    <w:p w14:paraId="328763E0" w14:textId="16503B1A" w:rsidR="00023BA5" w:rsidRPr="00A11265" w:rsidRDefault="00023BA5" w:rsidP="00F51F16">
      <w:pPr>
        <w:pStyle w:val="ListParagraph"/>
        <w:numPr>
          <w:ilvl w:val="0"/>
          <w:numId w:val="26"/>
        </w:numPr>
        <w:rPr>
          <w:rFonts w:asciiTheme="minorHAnsi" w:hAnsiTheme="minorHAnsi" w:cs="Arial"/>
        </w:rPr>
      </w:pPr>
      <w:r w:rsidRPr="00A11265">
        <w:rPr>
          <w:rFonts w:asciiTheme="minorHAnsi" w:hAnsiTheme="minorHAnsi" w:cs="Arial"/>
        </w:rPr>
        <w:t>5.20B Inertia subnetworks and requirements</w:t>
      </w:r>
    </w:p>
    <w:p w14:paraId="5665529F" w14:textId="0BEC21C4" w:rsidR="00023BA5" w:rsidRPr="00A11265" w:rsidRDefault="00023BA5" w:rsidP="00F51F16">
      <w:pPr>
        <w:pStyle w:val="ListParagraph"/>
        <w:numPr>
          <w:ilvl w:val="0"/>
          <w:numId w:val="26"/>
        </w:numPr>
        <w:rPr>
          <w:rFonts w:asciiTheme="minorHAnsi" w:hAnsiTheme="minorHAnsi" w:cs="Arial"/>
        </w:rPr>
      </w:pPr>
      <w:r w:rsidRPr="00A11265">
        <w:rPr>
          <w:rFonts w:asciiTheme="minorHAnsi" w:hAnsiTheme="minorHAnsi" w:cs="Arial"/>
        </w:rPr>
        <w:t>5.20C System strength requirements.</w:t>
      </w:r>
    </w:p>
    <w:p w14:paraId="31F1C60E" w14:textId="60236FDC" w:rsidR="00CB560D" w:rsidRPr="00A11265" w:rsidRDefault="00CB560D" w:rsidP="00CB560D">
      <w:pPr>
        <w:pStyle w:val="Heading2"/>
        <w:keepNext/>
        <w:rPr>
          <w:lang w:eastAsia="en-AU"/>
        </w:rPr>
      </w:pPr>
      <w:bookmarkStart w:id="51" w:name="_Toc61852377"/>
      <w:bookmarkStart w:id="52" w:name="_Toc61956186"/>
      <w:bookmarkEnd w:id="51"/>
      <w:r w:rsidRPr="00A11265">
        <w:rPr>
          <w:lang w:eastAsia="en-AU"/>
        </w:rPr>
        <w:t>Review framework</w:t>
      </w:r>
      <w:bookmarkEnd w:id="52"/>
    </w:p>
    <w:p w14:paraId="2347C428" w14:textId="6EB3D59D" w:rsidR="00CB560D" w:rsidRPr="00A11265" w:rsidRDefault="00CB560D" w:rsidP="00CB560D">
      <w:pPr>
        <w:rPr>
          <w:rFonts w:asciiTheme="minorHAnsi" w:hAnsiTheme="minorHAnsi" w:cs="Arial"/>
        </w:rPr>
      </w:pPr>
      <w:r w:rsidRPr="00A11265">
        <w:rPr>
          <w:rFonts w:asciiTheme="minorHAnsi" w:hAnsiTheme="minorHAnsi" w:cs="Arial"/>
        </w:rPr>
        <w:t xml:space="preserve">The </w:t>
      </w:r>
      <w:r w:rsidR="00D24175" w:rsidRPr="00A11265">
        <w:rPr>
          <w:rFonts w:asciiTheme="minorHAnsi" w:hAnsiTheme="minorHAnsi" w:cs="Arial"/>
        </w:rPr>
        <w:t>N</w:t>
      </w:r>
      <w:r w:rsidR="00F17647">
        <w:rPr>
          <w:rFonts w:asciiTheme="minorHAnsi" w:hAnsiTheme="minorHAnsi" w:cs="Arial"/>
        </w:rPr>
        <w:t>T</w:t>
      </w:r>
      <w:r w:rsidRPr="00A11265">
        <w:rPr>
          <w:rFonts w:asciiTheme="minorHAnsi" w:hAnsiTheme="minorHAnsi" w:cs="Arial"/>
        </w:rPr>
        <w:t xml:space="preserve"> has adopted the National Electricity Law (NEL) for the regulated </w:t>
      </w:r>
      <w:r w:rsidR="00DA2687">
        <w:rPr>
          <w:rFonts w:asciiTheme="minorHAnsi" w:hAnsiTheme="minorHAnsi" w:cs="Arial"/>
        </w:rPr>
        <w:t>power</w:t>
      </w:r>
      <w:r w:rsidRPr="00A11265">
        <w:rPr>
          <w:rFonts w:asciiTheme="minorHAnsi" w:hAnsiTheme="minorHAnsi" w:cs="Arial"/>
        </w:rPr>
        <w:t xml:space="preserve"> systems of Darwin-Katherine, Alice Springs and Tennant Creek, and its focus on promoting the long</w:t>
      </w:r>
      <w:r w:rsidRPr="00A11265">
        <w:rPr>
          <w:rFonts w:asciiTheme="minorHAnsi" w:hAnsiTheme="minorHAnsi" w:cs="Arial"/>
        </w:rPr>
        <w:noBreakHyphen/>
        <w:t>term interests of consumers of electricity. As such,</w:t>
      </w:r>
      <w:r w:rsidR="00FF0BAA" w:rsidRPr="00A11265">
        <w:rPr>
          <w:rFonts w:asciiTheme="minorHAnsi" w:hAnsiTheme="minorHAnsi" w:cs="Arial"/>
        </w:rPr>
        <w:t xml:space="preserve"> in the Issues Paper</w:t>
      </w:r>
      <w:r w:rsidRPr="00A11265">
        <w:rPr>
          <w:rFonts w:asciiTheme="minorHAnsi" w:hAnsiTheme="minorHAnsi" w:cs="Arial"/>
        </w:rPr>
        <w:t xml:space="preserve"> the </w:t>
      </w:r>
      <w:r w:rsidR="00DD050A" w:rsidRPr="00A11265">
        <w:rPr>
          <w:rFonts w:asciiTheme="minorHAnsi" w:hAnsiTheme="minorHAnsi" w:cs="Arial"/>
        </w:rPr>
        <w:t>Design Development Team</w:t>
      </w:r>
      <w:r w:rsidRPr="00A11265">
        <w:rPr>
          <w:rFonts w:asciiTheme="minorHAnsi" w:hAnsiTheme="minorHAnsi" w:cs="Arial"/>
        </w:rPr>
        <w:t xml:space="preserve"> propose</w:t>
      </w:r>
      <w:r w:rsidR="00FF0BAA" w:rsidRPr="00A11265">
        <w:rPr>
          <w:rFonts w:asciiTheme="minorHAnsi" w:hAnsiTheme="minorHAnsi" w:cs="Arial"/>
        </w:rPr>
        <w:t>d</w:t>
      </w:r>
      <w:r w:rsidRPr="00A11265">
        <w:rPr>
          <w:rFonts w:asciiTheme="minorHAnsi" w:hAnsiTheme="minorHAnsi" w:cs="Arial"/>
        </w:rPr>
        <w:t xml:space="preserve"> that its overarching assessment framework for this review be aligned to the National Electricity Objective (NEO) as defined under the NEL, which is:</w:t>
      </w:r>
    </w:p>
    <w:p w14:paraId="133CE76F" w14:textId="77777777" w:rsidR="00CB560D" w:rsidRPr="00A11265" w:rsidRDefault="00CB560D" w:rsidP="00CE0480">
      <w:pPr>
        <w:spacing w:after="60"/>
        <w:ind w:left="567" w:right="567"/>
        <w:rPr>
          <w:rFonts w:asciiTheme="minorHAnsi" w:hAnsiTheme="minorHAnsi" w:cs="Arial"/>
          <w:i/>
        </w:rPr>
      </w:pPr>
      <w:r w:rsidRPr="00A11265">
        <w:rPr>
          <w:rFonts w:asciiTheme="minorHAnsi" w:hAnsiTheme="minorHAnsi" w:cs="Arial"/>
          <w:i/>
        </w:rPr>
        <w:t xml:space="preserve">“… </w:t>
      </w:r>
      <w:proofErr w:type="gramStart"/>
      <w:r w:rsidRPr="00A11265">
        <w:rPr>
          <w:rFonts w:asciiTheme="minorHAnsi" w:hAnsiTheme="minorHAnsi" w:cs="Arial"/>
          <w:i/>
        </w:rPr>
        <w:t>to</w:t>
      </w:r>
      <w:proofErr w:type="gramEnd"/>
      <w:r w:rsidRPr="00A11265">
        <w:rPr>
          <w:rFonts w:asciiTheme="minorHAnsi" w:hAnsiTheme="minorHAnsi" w:cs="Arial"/>
          <w:i/>
        </w:rPr>
        <w:t xml:space="preserve"> promote efficient investment in, and efficient operation and use of, electricity services for the long term interests of consumers of electricity with respect to — </w:t>
      </w:r>
    </w:p>
    <w:p w14:paraId="3B2C7A5E" w14:textId="04747E58" w:rsidR="00CB560D" w:rsidRPr="00A11265" w:rsidRDefault="00CB560D" w:rsidP="00222483">
      <w:pPr>
        <w:ind w:left="567" w:right="567"/>
        <w:rPr>
          <w:rFonts w:asciiTheme="minorHAnsi" w:hAnsiTheme="minorHAnsi" w:cs="Arial"/>
        </w:rPr>
      </w:pPr>
      <w:r w:rsidRPr="00A11265">
        <w:rPr>
          <w:rFonts w:asciiTheme="minorHAnsi" w:hAnsiTheme="minorHAnsi" w:cs="Arial"/>
          <w:i/>
        </w:rPr>
        <w:t>(</w:t>
      </w:r>
      <w:proofErr w:type="gramStart"/>
      <w:r w:rsidRPr="00A11265">
        <w:rPr>
          <w:rFonts w:asciiTheme="minorHAnsi" w:hAnsiTheme="minorHAnsi" w:cs="Arial"/>
          <w:i/>
        </w:rPr>
        <w:t>a</w:t>
      </w:r>
      <w:proofErr w:type="gramEnd"/>
      <w:r w:rsidRPr="00A11265">
        <w:rPr>
          <w:rFonts w:asciiTheme="minorHAnsi" w:hAnsiTheme="minorHAnsi" w:cs="Arial"/>
          <w:i/>
        </w:rPr>
        <w:t>) price, quality, safety, reliability and security of supply of electricity</w:t>
      </w:r>
      <w:r w:rsidR="00B967F2" w:rsidRPr="00A11265">
        <w:rPr>
          <w:rFonts w:asciiTheme="minorHAnsi" w:hAnsiTheme="minorHAnsi" w:cs="Arial"/>
          <w:i/>
        </w:rPr>
        <w:t xml:space="preserve"> …</w:t>
      </w:r>
      <w:r w:rsidRPr="00A11265">
        <w:rPr>
          <w:rFonts w:asciiTheme="minorHAnsi" w:hAnsiTheme="minorHAnsi" w:cs="Arial"/>
        </w:rPr>
        <w:t>”</w:t>
      </w:r>
      <w:r w:rsidRPr="00A11265">
        <w:rPr>
          <w:rFonts w:asciiTheme="minorHAnsi" w:hAnsiTheme="minorHAnsi"/>
          <w:vertAlign w:val="superscript"/>
        </w:rPr>
        <w:footnoteReference w:id="4"/>
      </w:r>
    </w:p>
    <w:p w14:paraId="345F3D7E" w14:textId="2507722E" w:rsidR="00CB560D" w:rsidRPr="00A11265" w:rsidRDefault="00CB560D" w:rsidP="00A23B49">
      <w:pPr>
        <w:keepNext/>
        <w:rPr>
          <w:rFonts w:asciiTheme="minorHAnsi" w:hAnsiTheme="minorHAnsi" w:cs="Arial"/>
        </w:rPr>
      </w:pPr>
      <w:r w:rsidRPr="00A11265">
        <w:rPr>
          <w:rFonts w:asciiTheme="minorHAnsi" w:hAnsiTheme="minorHAnsi" w:cs="Arial"/>
        </w:rPr>
        <w:lastRenderedPageBreak/>
        <w:t xml:space="preserve">Consistent with the NEO, the following principles </w:t>
      </w:r>
      <w:r w:rsidR="007B6EF3" w:rsidRPr="00A11265">
        <w:rPr>
          <w:rFonts w:asciiTheme="minorHAnsi" w:hAnsiTheme="minorHAnsi" w:cs="Arial"/>
        </w:rPr>
        <w:t>were</w:t>
      </w:r>
      <w:r w:rsidRPr="00A11265">
        <w:rPr>
          <w:rFonts w:asciiTheme="minorHAnsi" w:hAnsiTheme="minorHAnsi" w:cs="Arial"/>
        </w:rPr>
        <w:t xml:space="preserve"> proposed</w:t>
      </w:r>
      <w:r w:rsidR="007B6EF3" w:rsidRPr="00A11265">
        <w:rPr>
          <w:rFonts w:asciiTheme="minorHAnsi" w:hAnsiTheme="minorHAnsi" w:cs="Arial"/>
        </w:rPr>
        <w:t xml:space="preserve"> in the </w:t>
      </w:r>
      <w:r w:rsidR="00FF0BAA" w:rsidRPr="00A11265">
        <w:rPr>
          <w:rFonts w:asciiTheme="minorHAnsi" w:hAnsiTheme="minorHAnsi" w:cs="Arial"/>
        </w:rPr>
        <w:t>I</w:t>
      </w:r>
      <w:r w:rsidR="007B6EF3" w:rsidRPr="00A11265">
        <w:rPr>
          <w:rFonts w:asciiTheme="minorHAnsi" w:hAnsiTheme="minorHAnsi" w:cs="Arial"/>
        </w:rPr>
        <w:t xml:space="preserve">ssues </w:t>
      </w:r>
      <w:r w:rsidR="00FF0BAA" w:rsidRPr="00A11265">
        <w:rPr>
          <w:rFonts w:asciiTheme="minorHAnsi" w:hAnsiTheme="minorHAnsi" w:cs="Arial"/>
        </w:rPr>
        <w:t>P</w:t>
      </w:r>
      <w:r w:rsidR="007B6EF3" w:rsidRPr="00A11265">
        <w:rPr>
          <w:rFonts w:asciiTheme="minorHAnsi" w:hAnsiTheme="minorHAnsi" w:cs="Arial"/>
        </w:rPr>
        <w:t>aper</w:t>
      </w:r>
      <w:r w:rsidRPr="00A11265">
        <w:rPr>
          <w:rFonts w:asciiTheme="minorHAnsi" w:hAnsiTheme="minorHAnsi" w:cs="Arial"/>
        </w:rPr>
        <w:t xml:space="preserve"> to be used to frame the review of the provision of </w:t>
      </w:r>
      <w:r w:rsidR="00F17647">
        <w:rPr>
          <w:rFonts w:asciiTheme="minorHAnsi" w:hAnsiTheme="minorHAnsi" w:cs="Arial"/>
        </w:rPr>
        <w:t>essential system services</w:t>
      </w:r>
      <w:r w:rsidRPr="00A11265">
        <w:rPr>
          <w:rFonts w:asciiTheme="minorHAnsi" w:hAnsiTheme="minorHAnsi" w:cs="Arial"/>
        </w:rPr>
        <w:t xml:space="preserve"> in the </w:t>
      </w:r>
      <w:r w:rsidR="00F17647">
        <w:rPr>
          <w:rFonts w:asciiTheme="minorHAnsi" w:hAnsiTheme="minorHAnsi" w:cs="Arial"/>
        </w:rPr>
        <w:t>NT</w:t>
      </w:r>
      <w:r w:rsidRPr="00A11265">
        <w:rPr>
          <w:rFonts w:asciiTheme="minorHAnsi" w:hAnsiTheme="minorHAnsi" w:cs="Arial"/>
        </w:rPr>
        <w:t xml:space="preserve">’s regulated </w:t>
      </w:r>
      <w:r w:rsidR="00DA2687">
        <w:rPr>
          <w:rFonts w:asciiTheme="minorHAnsi" w:hAnsiTheme="minorHAnsi" w:cs="Arial"/>
        </w:rPr>
        <w:t>power</w:t>
      </w:r>
      <w:r w:rsidRPr="00A11265">
        <w:rPr>
          <w:rFonts w:asciiTheme="minorHAnsi" w:hAnsiTheme="minorHAnsi" w:cs="Arial"/>
        </w:rPr>
        <w:t xml:space="preserve"> systems.</w:t>
      </w:r>
    </w:p>
    <w:p w14:paraId="44C6E057" w14:textId="77777777" w:rsidR="00CB560D" w:rsidRPr="00A11265" w:rsidRDefault="00CB560D" w:rsidP="001F613E">
      <w:pPr>
        <w:pStyle w:val="ListParagraph"/>
        <w:numPr>
          <w:ilvl w:val="0"/>
          <w:numId w:val="11"/>
        </w:numPr>
        <w:spacing w:before="200"/>
        <w:ind w:left="426"/>
        <w:rPr>
          <w:rFonts w:cs="Arial"/>
        </w:rPr>
      </w:pPr>
      <w:r w:rsidRPr="00A11265">
        <w:rPr>
          <w:rFonts w:cs="Arial"/>
        </w:rPr>
        <w:t>Required security standards must be met.</w:t>
      </w:r>
    </w:p>
    <w:p w14:paraId="1C995415" w14:textId="77777777" w:rsidR="00CB560D" w:rsidRPr="00A11265" w:rsidRDefault="00CB560D" w:rsidP="001F613E">
      <w:pPr>
        <w:pStyle w:val="ListParagraph"/>
        <w:numPr>
          <w:ilvl w:val="0"/>
          <w:numId w:val="11"/>
        </w:numPr>
        <w:spacing w:before="200"/>
        <w:ind w:left="426"/>
        <w:rPr>
          <w:rFonts w:cs="Arial"/>
        </w:rPr>
      </w:pPr>
      <w:r w:rsidRPr="00A11265">
        <w:rPr>
          <w:rFonts w:cs="Arial"/>
        </w:rPr>
        <w:t>Services should be acquired at least cost.</w:t>
      </w:r>
    </w:p>
    <w:p w14:paraId="413B6160" w14:textId="4AE41D6F" w:rsidR="00CB560D" w:rsidRPr="00A11265" w:rsidRDefault="00CB560D" w:rsidP="001F613E">
      <w:pPr>
        <w:pStyle w:val="ListParagraph"/>
        <w:numPr>
          <w:ilvl w:val="0"/>
          <w:numId w:val="11"/>
        </w:numPr>
        <w:spacing w:before="200"/>
        <w:ind w:left="426"/>
        <w:rPr>
          <w:rFonts w:cs="Arial"/>
        </w:rPr>
      </w:pPr>
      <w:r w:rsidRPr="00A11265">
        <w:rPr>
          <w:rFonts w:cs="Arial"/>
        </w:rPr>
        <w:t>E</w:t>
      </w:r>
      <w:r w:rsidR="00FF0BAA" w:rsidRPr="00A11265">
        <w:rPr>
          <w:rFonts w:cs="Arial"/>
        </w:rPr>
        <w:t>ssential system services</w:t>
      </w:r>
      <w:r w:rsidRPr="00A11265">
        <w:rPr>
          <w:rFonts w:cs="Arial"/>
        </w:rPr>
        <w:t xml:space="preserve"> acquisition is to be technology neutral.</w:t>
      </w:r>
    </w:p>
    <w:p w14:paraId="1E137F1C" w14:textId="77777777" w:rsidR="00CB560D" w:rsidRPr="00A11265" w:rsidRDefault="00CB560D" w:rsidP="001F613E">
      <w:pPr>
        <w:pStyle w:val="ListParagraph"/>
        <w:numPr>
          <w:ilvl w:val="0"/>
          <w:numId w:val="11"/>
        </w:numPr>
        <w:spacing w:before="200"/>
        <w:ind w:left="426"/>
        <w:rPr>
          <w:rFonts w:cs="Arial"/>
        </w:rPr>
      </w:pPr>
      <w:r w:rsidRPr="00A11265">
        <w:rPr>
          <w:rFonts w:cs="Arial"/>
        </w:rPr>
        <w:t>To the extent possible, the proposed arrangements should deliver certainty to industry participants, so as to provide the confidence to invest.</w:t>
      </w:r>
    </w:p>
    <w:p w14:paraId="6D0029D7" w14:textId="77777777" w:rsidR="00CB560D" w:rsidRPr="00A11265" w:rsidRDefault="00CB560D" w:rsidP="001F613E">
      <w:pPr>
        <w:pStyle w:val="ListParagraph"/>
        <w:numPr>
          <w:ilvl w:val="0"/>
          <w:numId w:val="11"/>
        </w:numPr>
        <w:spacing w:before="200"/>
        <w:ind w:left="426"/>
        <w:rPr>
          <w:rFonts w:cs="Arial"/>
        </w:rPr>
      </w:pPr>
      <w:r w:rsidRPr="00A11265">
        <w:rPr>
          <w:rFonts w:cs="Arial"/>
        </w:rPr>
        <w:t>Arrangements must support the achievement of the Government’s 50 per cent renewables by 2030 target and reductions to greenhouse gas emissions.</w:t>
      </w:r>
    </w:p>
    <w:p w14:paraId="3A5200B0" w14:textId="2C060E3F" w:rsidR="00CB560D" w:rsidRPr="00A11265" w:rsidRDefault="00CB560D" w:rsidP="001F613E">
      <w:pPr>
        <w:pStyle w:val="ListParagraph"/>
        <w:numPr>
          <w:ilvl w:val="0"/>
          <w:numId w:val="11"/>
        </w:numPr>
        <w:spacing w:before="200"/>
        <w:ind w:left="426"/>
        <w:rPr>
          <w:rFonts w:cs="Arial"/>
        </w:rPr>
      </w:pPr>
      <w:r w:rsidRPr="00A11265">
        <w:rPr>
          <w:rFonts w:cs="Arial"/>
        </w:rPr>
        <w:t>Reforms must improve the overall efficiency of electricity supply, putting downward pressure on the combined cost of ESS, wholesale electricity and network services.</w:t>
      </w:r>
    </w:p>
    <w:p w14:paraId="2C5AABFC" w14:textId="7EE38222" w:rsidR="00975B34" w:rsidRPr="00A11265" w:rsidRDefault="00FF0BAA" w:rsidP="00975B34">
      <w:pPr>
        <w:spacing w:before="200"/>
        <w:ind w:left="66"/>
        <w:rPr>
          <w:rFonts w:cs="Arial"/>
        </w:rPr>
      </w:pPr>
      <w:r w:rsidRPr="00A11265">
        <w:rPr>
          <w:rFonts w:cs="Arial"/>
        </w:rPr>
        <w:t>In submissions</w:t>
      </w:r>
      <w:r w:rsidR="00B6484C" w:rsidRPr="00A11265">
        <w:rPr>
          <w:rFonts w:cs="Arial"/>
        </w:rPr>
        <w:t xml:space="preserve"> to the </w:t>
      </w:r>
      <w:r w:rsidR="000458F9">
        <w:rPr>
          <w:rFonts w:cs="Arial"/>
        </w:rPr>
        <w:t>I</w:t>
      </w:r>
      <w:r w:rsidR="00B6484C" w:rsidRPr="00A11265">
        <w:rPr>
          <w:rFonts w:cs="Arial"/>
        </w:rPr>
        <w:t xml:space="preserve">ssues </w:t>
      </w:r>
      <w:r w:rsidR="000458F9">
        <w:rPr>
          <w:rFonts w:cs="Arial"/>
        </w:rPr>
        <w:t>P</w:t>
      </w:r>
      <w:r w:rsidR="00B6484C" w:rsidRPr="00A11265">
        <w:rPr>
          <w:rFonts w:cs="Arial"/>
        </w:rPr>
        <w:t>aper</w:t>
      </w:r>
      <w:r w:rsidRPr="00A11265">
        <w:rPr>
          <w:rFonts w:cs="Arial"/>
        </w:rPr>
        <w:t>, stakeholders supported</w:t>
      </w:r>
      <w:r w:rsidR="00B6484C" w:rsidRPr="00A11265">
        <w:rPr>
          <w:rFonts w:cs="Arial"/>
        </w:rPr>
        <w:t xml:space="preserve"> aligning the review</w:t>
      </w:r>
      <w:r w:rsidRPr="00A11265">
        <w:rPr>
          <w:rFonts w:cs="Arial"/>
        </w:rPr>
        <w:t xml:space="preserve"> framework</w:t>
      </w:r>
      <w:r w:rsidR="00B6484C" w:rsidRPr="00A11265">
        <w:rPr>
          <w:rFonts w:cs="Arial"/>
        </w:rPr>
        <w:t xml:space="preserve"> with the National Electricity Objective</w:t>
      </w:r>
      <w:r w:rsidRPr="00A11265">
        <w:rPr>
          <w:rFonts w:cs="Arial"/>
        </w:rPr>
        <w:t xml:space="preserve"> (Eni Australia, T-Gen, Jac</w:t>
      </w:r>
      <w:r w:rsidR="00796F87" w:rsidRPr="00A11265">
        <w:rPr>
          <w:rFonts w:cs="Arial"/>
        </w:rPr>
        <w:t xml:space="preserve">ana, </w:t>
      </w:r>
      <w:proofErr w:type="gramStart"/>
      <w:r w:rsidR="00796F87" w:rsidRPr="00A11265">
        <w:rPr>
          <w:rFonts w:cs="Arial"/>
        </w:rPr>
        <w:t>Sun</w:t>
      </w:r>
      <w:proofErr w:type="gramEnd"/>
      <w:r w:rsidR="00796F87" w:rsidRPr="00A11265">
        <w:rPr>
          <w:rFonts w:cs="Arial"/>
        </w:rPr>
        <w:t xml:space="preserve"> Cable</w:t>
      </w:r>
      <w:r w:rsidRPr="00A11265">
        <w:rPr>
          <w:rFonts w:cs="Arial"/>
        </w:rPr>
        <w:t>)</w:t>
      </w:r>
      <w:r w:rsidR="003F3E07" w:rsidRPr="00A11265">
        <w:rPr>
          <w:rFonts w:cs="Arial"/>
        </w:rPr>
        <w:t xml:space="preserve">. However, stakeholders </w:t>
      </w:r>
      <w:r w:rsidRPr="00A11265">
        <w:rPr>
          <w:rFonts w:cs="Arial"/>
        </w:rPr>
        <w:t>sought</w:t>
      </w:r>
      <w:r w:rsidR="00796F87" w:rsidRPr="00A11265">
        <w:rPr>
          <w:rFonts w:cs="Arial"/>
        </w:rPr>
        <w:t xml:space="preserve"> that particular attention be given to certain </w:t>
      </w:r>
      <w:r w:rsidR="003F3E07" w:rsidRPr="00A11265">
        <w:rPr>
          <w:rFonts w:cs="Arial"/>
        </w:rPr>
        <w:t xml:space="preserve">other </w:t>
      </w:r>
      <w:r w:rsidR="00796F87" w:rsidRPr="00A11265">
        <w:rPr>
          <w:rFonts w:cs="Arial"/>
        </w:rPr>
        <w:t>aspects or context</w:t>
      </w:r>
      <w:r w:rsidR="00DA5DC2" w:rsidRPr="00A11265">
        <w:rPr>
          <w:rFonts w:cs="Arial"/>
        </w:rPr>
        <w:t xml:space="preserve"> of essential system services</w:t>
      </w:r>
      <w:r w:rsidR="00796F87" w:rsidRPr="00A11265">
        <w:rPr>
          <w:rFonts w:cs="Arial"/>
        </w:rPr>
        <w:t>, including</w:t>
      </w:r>
      <w:r w:rsidR="00DA5DC2" w:rsidRPr="00A11265">
        <w:rPr>
          <w:rFonts w:cs="Arial"/>
        </w:rPr>
        <w:t xml:space="preserve"> the</w:t>
      </w:r>
      <w:r w:rsidR="00796F87" w:rsidRPr="00A11265">
        <w:rPr>
          <w:rFonts w:cs="Arial"/>
        </w:rPr>
        <w:t xml:space="preserve"> </w:t>
      </w:r>
      <w:r w:rsidR="00D664D5" w:rsidRPr="00A11265">
        <w:rPr>
          <w:rFonts w:cs="Arial"/>
        </w:rPr>
        <w:t>GPS</w:t>
      </w:r>
      <w:r w:rsidR="00796F87" w:rsidRPr="00A11265">
        <w:rPr>
          <w:rFonts w:cs="Arial"/>
        </w:rPr>
        <w:t xml:space="preserve"> (Eni Australia), </w:t>
      </w:r>
      <w:r w:rsidR="005577E9" w:rsidRPr="00A11265">
        <w:rPr>
          <w:rFonts w:cs="Arial"/>
        </w:rPr>
        <w:t>network support services and generator support services</w:t>
      </w:r>
      <w:r w:rsidR="00796F87" w:rsidRPr="00A11265">
        <w:rPr>
          <w:rFonts w:cs="Arial"/>
        </w:rPr>
        <w:t xml:space="preserve"> (T-Gen), </w:t>
      </w:r>
      <w:r w:rsidR="005577E9" w:rsidRPr="00A11265">
        <w:rPr>
          <w:rFonts w:cs="Arial"/>
        </w:rPr>
        <w:t xml:space="preserve">the role of </w:t>
      </w:r>
      <w:r w:rsidR="003F3E07" w:rsidRPr="00A11265">
        <w:rPr>
          <w:rFonts w:cs="Arial"/>
        </w:rPr>
        <w:t>distributed energy resources</w:t>
      </w:r>
      <w:r w:rsidR="00DA5DC2" w:rsidRPr="00A11265">
        <w:rPr>
          <w:rFonts w:cs="Arial"/>
        </w:rPr>
        <w:t xml:space="preserve"> </w:t>
      </w:r>
      <w:r w:rsidR="00796F87" w:rsidRPr="00A11265">
        <w:rPr>
          <w:rFonts w:cs="Arial"/>
        </w:rPr>
        <w:t>(Jacana)</w:t>
      </w:r>
      <w:r w:rsidR="00D9724C" w:rsidRPr="00A11265">
        <w:rPr>
          <w:rFonts w:cs="Arial"/>
        </w:rPr>
        <w:t xml:space="preserve"> and</w:t>
      </w:r>
      <w:r w:rsidR="00796F87" w:rsidRPr="00A11265">
        <w:rPr>
          <w:rFonts w:cs="Arial"/>
        </w:rPr>
        <w:t xml:space="preserve"> sustainability</w:t>
      </w:r>
      <w:r w:rsidR="00DA5DC2" w:rsidRPr="00A11265">
        <w:rPr>
          <w:rFonts w:cs="Arial"/>
        </w:rPr>
        <w:t xml:space="preserve"> of electricity supply</w:t>
      </w:r>
      <w:r w:rsidR="00796F87" w:rsidRPr="00A11265">
        <w:rPr>
          <w:rFonts w:cs="Arial"/>
        </w:rPr>
        <w:t xml:space="preserve"> (Sun Cable)</w:t>
      </w:r>
      <w:r w:rsidR="00D9724C" w:rsidRPr="00A11265">
        <w:rPr>
          <w:rFonts w:cs="Arial"/>
        </w:rPr>
        <w:t>.</w:t>
      </w:r>
    </w:p>
    <w:p w14:paraId="33946712" w14:textId="343C7D50" w:rsidR="00975B34" w:rsidRPr="00A11265" w:rsidRDefault="00975B34" w:rsidP="00975B34">
      <w:pPr>
        <w:pStyle w:val="Heading2"/>
        <w:keepNext/>
        <w:rPr>
          <w:lang w:eastAsia="en-AU"/>
        </w:rPr>
      </w:pPr>
      <w:bookmarkStart w:id="53" w:name="_Toc42779152"/>
      <w:bookmarkStart w:id="54" w:name="_Toc61956187"/>
      <w:r w:rsidRPr="00A11265">
        <w:rPr>
          <w:lang w:eastAsia="en-AU"/>
        </w:rPr>
        <w:t>Stakeholder consultation and review timeframes</w:t>
      </w:r>
      <w:bookmarkEnd w:id="53"/>
      <w:bookmarkEnd w:id="54"/>
    </w:p>
    <w:p w14:paraId="77F358CC" w14:textId="6512114C" w:rsidR="00337673" w:rsidRPr="00A11265" w:rsidRDefault="00975B34" w:rsidP="006A704A">
      <w:pPr>
        <w:rPr>
          <w:rFonts w:asciiTheme="minorHAnsi" w:hAnsiTheme="minorHAnsi" w:cs="Arial"/>
        </w:rPr>
      </w:pPr>
      <w:r w:rsidRPr="00A11265">
        <w:rPr>
          <w:rFonts w:asciiTheme="minorHAnsi" w:hAnsiTheme="minorHAnsi" w:cs="Arial"/>
        </w:rPr>
        <w:t>The</w:t>
      </w:r>
      <w:r w:rsidR="00337673" w:rsidRPr="00A11265">
        <w:rPr>
          <w:rFonts w:asciiTheme="minorHAnsi" w:hAnsiTheme="minorHAnsi" w:cs="Arial"/>
        </w:rPr>
        <w:t xml:space="preserve"> Design Development Team’s consultation with stakeholders commenced with the release of an Issues Paper in June 2020. Five written submissions were received from </w:t>
      </w:r>
      <w:r w:rsidR="006A704A">
        <w:rPr>
          <w:rFonts w:asciiTheme="minorHAnsi" w:hAnsiTheme="minorHAnsi" w:cs="Arial"/>
        </w:rPr>
        <w:t>T-Gen</w:t>
      </w:r>
      <w:r w:rsidR="00337673" w:rsidRPr="00A11265">
        <w:rPr>
          <w:rFonts w:asciiTheme="minorHAnsi" w:hAnsiTheme="minorHAnsi" w:cs="Arial"/>
        </w:rPr>
        <w:t xml:space="preserve">, Jacana Energy, Eni Australia, </w:t>
      </w:r>
      <w:proofErr w:type="spellStart"/>
      <w:r w:rsidR="00337673" w:rsidRPr="00A11265">
        <w:rPr>
          <w:rFonts w:asciiTheme="minorHAnsi" w:hAnsiTheme="minorHAnsi" w:cs="Arial"/>
        </w:rPr>
        <w:t>Epuron</w:t>
      </w:r>
      <w:proofErr w:type="spellEnd"/>
      <w:r w:rsidR="00337673" w:rsidRPr="00A11265">
        <w:rPr>
          <w:rFonts w:asciiTheme="minorHAnsi" w:hAnsiTheme="minorHAnsi" w:cs="Arial"/>
        </w:rPr>
        <w:t xml:space="preserve"> and Sun Cable.</w:t>
      </w:r>
    </w:p>
    <w:p w14:paraId="5F42F0C8" w14:textId="1FA20BD4" w:rsidR="00975B34" w:rsidRPr="00A11265" w:rsidRDefault="00337673" w:rsidP="00975B34">
      <w:pPr>
        <w:rPr>
          <w:rFonts w:asciiTheme="minorHAnsi" w:hAnsiTheme="minorHAnsi" w:cs="Arial"/>
        </w:rPr>
      </w:pPr>
      <w:r w:rsidRPr="00A11265">
        <w:rPr>
          <w:rFonts w:asciiTheme="minorHAnsi" w:hAnsiTheme="minorHAnsi" w:cs="Arial"/>
        </w:rPr>
        <w:t>The Design Development Team</w:t>
      </w:r>
      <w:r w:rsidR="00975B34" w:rsidRPr="00A11265">
        <w:rPr>
          <w:rFonts w:asciiTheme="minorHAnsi" w:hAnsiTheme="minorHAnsi" w:cs="Arial"/>
        </w:rPr>
        <w:t xml:space="preserve"> </w:t>
      </w:r>
      <w:r w:rsidRPr="00A11265">
        <w:rPr>
          <w:rFonts w:asciiTheme="minorHAnsi" w:hAnsiTheme="minorHAnsi" w:cs="Arial"/>
        </w:rPr>
        <w:t>intends to continue its consultation as the review progresses, including through</w:t>
      </w:r>
      <w:r w:rsidR="000C7530" w:rsidRPr="00A11265">
        <w:rPr>
          <w:rFonts w:asciiTheme="minorHAnsi" w:hAnsiTheme="minorHAnsi" w:cs="Arial"/>
        </w:rPr>
        <w:t xml:space="preserve"> consideration of submissions to this </w:t>
      </w:r>
      <w:r w:rsidR="00B6484C" w:rsidRPr="00A11265">
        <w:rPr>
          <w:rFonts w:asciiTheme="minorHAnsi" w:hAnsiTheme="minorHAnsi" w:cs="Arial"/>
        </w:rPr>
        <w:t xml:space="preserve">Draft </w:t>
      </w:r>
      <w:r w:rsidR="00FB2629">
        <w:rPr>
          <w:rFonts w:asciiTheme="minorHAnsi" w:hAnsiTheme="minorHAnsi" w:cs="Arial"/>
        </w:rPr>
        <w:t>Position Paper</w:t>
      </w:r>
      <w:r w:rsidR="000C7530" w:rsidRPr="00A11265">
        <w:rPr>
          <w:rFonts w:asciiTheme="minorHAnsi" w:hAnsiTheme="minorHAnsi" w:cs="Arial"/>
        </w:rPr>
        <w:t xml:space="preserve"> and</w:t>
      </w:r>
      <w:r w:rsidRPr="00A11265">
        <w:rPr>
          <w:rFonts w:asciiTheme="minorHAnsi" w:hAnsiTheme="minorHAnsi" w:cs="Arial"/>
        </w:rPr>
        <w:t xml:space="preserve"> a stakeholder workshop in early 2021.</w:t>
      </w:r>
    </w:p>
    <w:p w14:paraId="6B7B97B4" w14:textId="35E5A313" w:rsidR="000C7530" w:rsidRPr="00A11265" w:rsidRDefault="000C7530" w:rsidP="00975B34">
      <w:pPr>
        <w:rPr>
          <w:rFonts w:asciiTheme="minorHAnsi" w:hAnsiTheme="minorHAnsi" w:cs="Arial"/>
        </w:rPr>
      </w:pPr>
      <w:r w:rsidRPr="00A11265">
        <w:rPr>
          <w:rFonts w:asciiTheme="minorHAnsi" w:hAnsiTheme="minorHAnsi" w:cs="Arial"/>
        </w:rPr>
        <w:t xml:space="preserve">The Design Development Team plans to provide a Final Report to </w:t>
      </w:r>
      <w:r w:rsidR="0088374A">
        <w:rPr>
          <w:rFonts w:asciiTheme="minorHAnsi" w:hAnsiTheme="minorHAnsi" w:cs="Arial"/>
        </w:rPr>
        <w:t xml:space="preserve">the Northern Territory </w:t>
      </w:r>
      <w:r w:rsidRPr="00A11265">
        <w:rPr>
          <w:rFonts w:asciiTheme="minorHAnsi" w:hAnsiTheme="minorHAnsi" w:cs="Arial"/>
        </w:rPr>
        <w:t xml:space="preserve">Government for consideration in </w:t>
      </w:r>
      <w:r w:rsidR="0088374A">
        <w:rPr>
          <w:rFonts w:asciiTheme="minorHAnsi" w:hAnsiTheme="minorHAnsi" w:cs="Arial"/>
        </w:rPr>
        <w:t>April</w:t>
      </w:r>
      <w:r w:rsidRPr="00A11265">
        <w:rPr>
          <w:rFonts w:asciiTheme="minorHAnsi" w:hAnsiTheme="minorHAnsi" w:cs="Arial"/>
        </w:rPr>
        <w:t xml:space="preserve"> 202</w:t>
      </w:r>
      <w:r w:rsidR="00522241">
        <w:rPr>
          <w:rFonts w:asciiTheme="minorHAnsi" w:hAnsiTheme="minorHAnsi" w:cs="Arial"/>
        </w:rPr>
        <w:t>1</w:t>
      </w:r>
      <w:r w:rsidRPr="00A11265">
        <w:rPr>
          <w:rFonts w:asciiTheme="minorHAnsi" w:hAnsiTheme="minorHAnsi" w:cs="Arial"/>
        </w:rPr>
        <w:t>.</w:t>
      </w:r>
    </w:p>
    <w:p w14:paraId="261C214B" w14:textId="44136677" w:rsidR="00975B34" w:rsidRPr="00A11265" w:rsidRDefault="00975B34" w:rsidP="00975B34">
      <w:pPr>
        <w:rPr>
          <w:rFonts w:asciiTheme="minorHAnsi" w:hAnsiTheme="minorHAnsi" w:cs="Arial"/>
        </w:rPr>
      </w:pPr>
      <w:r w:rsidRPr="00A11265">
        <w:rPr>
          <w:rFonts w:asciiTheme="minorHAnsi" w:hAnsiTheme="minorHAnsi" w:cs="Arial"/>
        </w:rPr>
        <w:t>The review actions and expected timing are outlined in Table 1</w:t>
      </w:r>
      <w:r w:rsidR="00000648" w:rsidRPr="00A11265">
        <w:rPr>
          <w:rFonts w:asciiTheme="minorHAnsi" w:hAnsiTheme="minorHAnsi" w:cs="Arial"/>
        </w:rPr>
        <w:t>-1</w:t>
      </w:r>
      <w:r w:rsidRPr="00A11265">
        <w:rPr>
          <w:rFonts w:asciiTheme="minorHAnsi" w:hAnsiTheme="minorHAnsi" w:cs="Arial"/>
        </w:rPr>
        <w:t>.</w:t>
      </w:r>
    </w:p>
    <w:p w14:paraId="2035FEA8" w14:textId="5E8251D7" w:rsidR="00975B34" w:rsidRPr="008413D6" w:rsidRDefault="00A808D2" w:rsidP="00880607">
      <w:pPr>
        <w:keepNext/>
        <w:tabs>
          <w:tab w:val="left" w:pos="1418"/>
        </w:tabs>
        <w:spacing w:after="60"/>
        <w:rPr>
          <w:rFonts w:cs="Arial"/>
          <w:b/>
        </w:rPr>
      </w:pPr>
      <w:r w:rsidRPr="008413D6">
        <w:rPr>
          <w:rFonts w:cs="Arial"/>
          <w:b/>
        </w:rPr>
        <w:t>Table 1-1</w:t>
      </w:r>
      <w:r w:rsidRPr="008413D6">
        <w:rPr>
          <w:rFonts w:cs="Arial"/>
          <w:b/>
        </w:rPr>
        <w:tab/>
      </w:r>
      <w:r w:rsidR="00975B34" w:rsidRPr="008413D6">
        <w:rPr>
          <w:rFonts w:cs="Arial"/>
          <w:b/>
        </w:rPr>
        <w:t>Actions and expected timing</w:t>
      </w:r>
    </w:p>
    <w:tbl>
      <w:tblPr>
        <w:tblStyle w:val="NTGtable1"/>
        <w:tblW w:w="5000" w:type="pct"/>
        <w:tblLook w:val="04A0" w:firstRow="1" w:lastRow="0" w:firstColumn="1" w:lastColumn="0" w:noHBand="0" w:noVBand="1"/>
      </w:tblPr>
      <w:tblGrid>
        <w:gridCol w:w="6315"/>
        <w:gridCol w:w="3993"/>
      </w:tblGrid>
      <w:tr w:rsidR="00975B34" w:rsidRPr="008413D6" w14:paraId="1DCD360B" w14:textId="77777777" w:rsidTr="00C4624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63" w:type="pct"/>
          </w:tcPr>
          <w:p w14:paraId="527746A7" w14:textId="77777777" w:rsidR="00975B34" w:rsidRPr="008413D6" w:rsidRDefault="00975B34" w:rsidP="00975B34">
            <w:pPr>
              <w:keepNext/>
              <w:rPr>
                <w:rFonts w:cs="Arial"/>
              </w:rPr>
            </w:pPr>
            <w:r w:rsidRPr="008413D6">
              <w:rPr>
                <w:rFonts w:cs="Arial"/>
              </w:rPr>
              <w:t>Action</w:t>
            </w:r>
          </w:p>
        </w:tc>
        <w:tc>
          <w:tcPr>
            <w:tcW w:w="1937" w:type="pct"/>
          </w:tcPr>
          <w:p w14:paraId="44DE436B" w14:textId="77777777" w:rsidR="00975B34" w:rsidRPr="008413D6" w:rsidRDefault="00975B34" w:rsidP="00975B34">
            <w:pPr>
              <w:keepNext/>
              <w:cnfStyle w:val="100000000000" w:firstRow="1" w:lastRow="0" w:firstColumn="0" w:lastColumn="0" w:oddVBand="0" w:evenVBand="0" w:oddHBand="0" w:evenHBand="0" w:firstRowFirstColumn="0" w:firstRowLastColumn="0" w:lastRowFirstColumn="0" w:lastRowLastColumn="0"/>
              <w:rPr>
                <w:rFonts w:cs="Arial"/>
              </w:rPr>
            </w:pPr>
            <w:r w:rsidRPr="008413D6">
              <w:rPr>
                <w:rFonts w:cs="Arial"/>
              </w:rPr>
              <w:t>Expected timing</w:t>
            </w:r>
          </w:p>
        </w:tc>
      </w:tr>
      <w:tr w:rsidR="00975B34" w:rsidRPr="008413D6" w14:paraId="01D76F41" w14:textId="77777777" w:rsidTr="00975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vAlign w:val="top"/>
          </w:tcPr>
          <w:p w14:paraId="4394FA1B" w14:textId="246C9593" w:rsidR="00975B34" w:rsidRPr="008413D6" w:rsidRDefault="00337673" w:rsidP="00FB2629">
            <w:pPr>
              <w:keepNext/>
              <w:spacing w:before="60" w:after="60"/>
              <w:rPr>
                <w:rFonts w:cs="Arial"/>
              </w:rPr>
            </w:pPr>
            <w:r w:rsidRPr="008413D6">
              <w:rPr>
                <w:rFonts w:cs="Arial"/>
              </w:rPr>
              <w:t xml:space="preserve">Draft </w:t>
            </w:r>
            <w:r w:rsidR="00FB2629">
              <w:rPr>
                <w:rFonts w:cs="Arial"/>
              </w:rPr>
              <w:t>Position Paper</w:t>
            </w:r>
            <w:r w:rsidR="00975B34" w:rsidRPr="008413D6">
              <w:rPr>
                <w:rFonts w:cs="Arial"/>
              </w:rPr>
              <w:t xml:space="preserve"> </w:t>
            </w:r>
          </w:p>
        </w:tc>
        <w:tc>
          <w:tcPr>
            <w:tcW w:w="1937" w:type="pct"/>
            <w:vAlign w:val="top"/>
          </w:tcPr>
          <w:p w14:paraId="454BA3CB" w14:textId="3BADB28B" w:rsidR="00975B34" w:rsidRPr="008413D6" w:rsidRDefault="0088374A" w:rsidP="00975B34">
            <w:pPr>
              <w:keepNext/>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January</w:t>
            </w:r>
            <w:r w:rsidR="00975B34" w:rsidRPr="008413D6">
              <w:rPr>
                <w:rFonts w:cs="Arial"/>
              </w:rPr>
              <w:t xml:space="preserve"> 202</w:t>
            </w:r>
            <w:r>
              <w:rPr>
                <w:rFonts w:cs="Arial"/>
              </w:rPr>
              <w:t>1</w:t>
            </w:r>
          </w:p>
        </w:tc>
      </w:tr>
      <w:tr w:rsidR="00975B34" w:rsidRPr="008413D6" w14:paraId="254A2D71" w14:textId="77777777" w:rsidTr="00975B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vAlign w:val="top"/>
          </w:tcPr>
          <w:p w14:paraId="40D3AF2F" w14:textId="72CCF035" w:rsidR="00975B34" w:rsidRPr="008413D6" w:rsidRDefault="00337673" w:rsidP="00FB2629">
            <w:pPr>
              <w:keepNext/>
              <w:spacing w:before="60" w:after="60"/>
              <w:rPr>
                <w:rFonts w:cs="Arial"/>
              </w:rPr>
            </w:pPr>
            <w:r w:rsidRPr="008413D6">
              <w:rPr>
                <w:rFonts w:cs="Arial"/>
              </w:rPr>
              <w:t xml:space="preserve">Final </w:t>
            </w:r>
            <w:r w:rsidR="00FB2629">
              <w:rPr>
                <w:rFonts w:cs="Arial"/>
              </w:rPr>
              <w:t>Position Paper</w:t>
            </w:r>
          </w:p>
        </w:tc>
        <w:tc>
          <w:tcPr>
            <w:tcW w:w="1937" w:type="pct"/>
            <w:vAlign w:val="top"/>
          </w:tcPr>
          <w:p w14:paraId="13F47C1D" w14:textId="583A57D9" w:rsidR="00975B34" w:rsidRPr="008413D6" w:rsidRDefault="008413D6" w:rsidP="00975B34">
            <w:pPr>
              <w:keepNext/>
              <w:spacing w:before="60" w:after="60"/>
              <w:cnfStyle w:val="000000010000" w:firstRow="0" w:lastRow="0" w:firstColumn="0" w:lastColumn="0" w:oddVBand="0" w:evenVBand="0" w:oddHBand="0" w:evenHBand="1" w:firstRowFirstColumn="0" w:firstRowLastColumn="0" w:lastRowFirstColumn="0" w:lastRowLastColumn="0"/>
              <w:rPr>
                <w:rFonts w:cs="Arial"/>
              </w:rPr>
            </w:pPr>
            <w:r>
              <w:rPr>
                <w:rFonts w:cs="Arial"/>
              </w:rPr>
              <w:t>April</w:t>
            </w:r>
            <w:r w:rsidR="00975B34" w:rsidRPr="008413D6">
              <w:rPr>
                <w:rFonts w:cs="Arial"/>
              </w:rPr>
              <w:t xml:space="preserve"> 202</w:t>
            </w:r>
            <w:r w:rsidR="00522241" w:rsidRPr="008413D6">
              <w:rPr>
                <w:rFonts w:cs="Arial"/>
              </w:rPr>
              <w:t>1</w:t>
            </w:r>
          </w:p>
        </w:tc>
      </w:tr>
      <w:tr w:rsidR="00975B34" w:rsidRPr="008413D6" w14:paraId="111CA5A7" w14:textId="77777777" w:rsidTr="00975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vAlign w:val="top"/>
          </w:tcPr>
          <w:p w14:paraId="29BE17C7" w14:textId="0BF42AE7" w:rsidR="00975B34" w:rsidRPr="008413D6" w:rsidRDefault="00CE1B6B" w:rsidP="00975B34">
            <w:pPr>
              <w:keepNext/>
              <w:spacing w:before="60" w:after="60"/>
              <w:rPr>
                <w:rFonts w:cs="Arial"/>
              </w:rPr>
            </w:pPr>
            <w:r w:rsidRPr="008413D6">
              <w:rPr>
                <w:rFonts w:cs="Arial"/>
              </w:rPr>
              <w:t>R</w:t>
            </w:r>
            <w:r w:rsidR="00975B34" w:rsidRPr="008413D6">
              <w:rPr>
                <w:rFonts w:cs="Arial"/>
              </w:rPr>
              <w:t>egulatory or code changes</w:t>
            </w:r>
          </w:p>
        </w:tc>
        <w:tc>
          <w:tcPr>
            <w:tcW w:w="1937" w:type="pct"/>
            <w:vAlign w:val="top"/>
          </w:tcPr>
          <w:p w14:paraId="7CA2EAF5" w14:textId="3ECDE795" w:rsidR="00975B34" w:rsidRPr="008413D6" w:rsidRDefault="00337673" w:rsidP="00975B34">
            <w:pPr>
              <w:keepNext/>
              <w:spacing w:before="60" w:after="60"/>
              <w:cnfStyle w:val="000000100000" w:firstRow="0" w:lastRow="0" w:firstColumn="0" w:lastColumn="0" w:oddVBand="0" w:evenVBand="0" w:oddHBand="1" w:evenHBand="0" w:firstRowFirstColumn="0" w:firstRowLastColumn="0" w:lastRowFirstColumn="0" w:lastRowLastColumn="0"/>
              <w:rPr>
                <w:rFonts w:cs="Arial"/>
              </w:rPr>
            </w:pPr>
            <w:r w:rsidRPr="008413D6">
              <w:rPr>
                <w:rFonts w:cs="Arial"/>
              </w:rPr>
              <w:t>Mid</w:t>
            </w:r>
            <w:r w:rsidR="00975B34" w:rsidRPr="008413D6">
              <w:rPr>
                <w:rFonts w:cs="Arial"/>
              </w:rPr>
              <w:t xml:space="preserve"> 2021</w:t>
            </w:r>
          </w:p>
        </w:tc>
      </w:tr>
      <w:tr w:rsidR="00975B34" w:rsidRPr="008413D6" w14:paraId="3EDC507F" w14:textId="77777777" w:rsidTr="00975B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vAlign w:val="top"/>
          </w:tcPr>
          <w:p w14:paraId="130BB9D5" w14:textId="04A5A501" w:rsidR="00975B34" w:rsidRPr="008413D6" w:rsidRDefault="00CE1B6B" w:rsidP="00975B34">
            <w:pPr>
              <w:keepNext/>
              <w:spacing w:before="60" w:after="60"/>
              <w:rPr>
                <w:rFonts w:cs="Arial"/>
              </w:rPr>
            </w:pPr>
            <w:r w:rsidRPr="008413D6">
              <w:rPr>
                <w:rFonts w:cs="Arial"/>
              </w:rPr>
              <w:t>P</w:t>
            </w:r>
            <w:r w:rsidR="00975B34" w:rsidRPr="008413D6">
              <w:rPr>
                <w:rFonts w:cs="Arial"/>
              </w:rPr>
              <w:t>rocedures and systems</w:t>
            </w:r>
          </w:p>
        </w:tc>
        <w:tc>
          <w:tcPr>
            <w:tcW w:w="1937" w:type="pct"/>
            <w:vAlign w:val="top"/>
          </w:tcPr>
          <w:p w14:paraId="43E4E2C4" w14:textId="27DC51EC" w:rsidR="00975B34" w:rsidRPr="008413D6" w:rsidRDefault="00CE1B6B" w:rsidP="00975B34">
            <w:pPr>
              <w:keepNext/>
              <w:spacing w:before="60" w:after="60"/>
              <w:cnfStyle w:val="000000010000" w:firstRow="0" w:lastRow="0" w:firstColumn="0" w:lastColumn="0" w:oddVBand="0" w:evenVBand="0" w:oddHBand="0" w:evenHBand="1" w:firstRowFirstColumn="0" w:firstRowLastColumn="0" w:lastRowFirstColumn="0" w:lastRowLastColumn="0"/>
              <w:rPr>
                <w:rFonts w:cs="Arial"/>
              </w:rPr>
            </w:pPr>
            <w:r w:rsidRPr="008413D6">
              <w:rPr>
                <w:rFonts w:cs="Arial"/>
              </w:rPr>
              <w:t>Mid-</w:t>
            </w:r>
            <w:r w:rsidR="00EA0847" w:rsidRPr="008413D6">
              <w:rPr>
                <w:rFonts w:cs="Arial"/>
              </w:rPr>
              <w:t>Late</w:t>
            </w:r>
            <w:r w:rsidR="00975B34" w:rsidRPr="008413D6">
              <w:rPr>
                <w:rFonts w:cs="Arial"/>
              </w:rPr>
              <w:t xml:space="preserve"> 2021</w:t>
            </w:r>
          </w:p>
        </w:tc>
      </w:tr>
      <w:tr w:rsidR="00975B34" w:rsidRPr="008413D6" w14:paraId="3749CBEC" w14:textId="77777777" w:rsidTr="00975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vAlign w:val="top"/>
          </w:tcPr>
          <w:p w14:paraId="2508E311" w14:textId="51F352CC" w:rsidR="00975B34" w:rsidRPr="008413D6" w:rsidRDefault="00975B34" w:rsidP="00975B34">
            <w:pPr>
              <w:keepNext/>
              <w:spacing w:before="60" w:after="60"/>
              <w:rPr>
                <w:rFonts w:cs="Arial"/>
              </w:rPr>
            </w:pPr>
            <w:r w:rsidRPr="008413D6">
              <w:rPr>
                <w:rFonts w:cs="Arial"/>
              </w:rPr>
              <w:t>Commence</w:t>
            </w:r>
            <w:r w:rsidR="00CE1B6B" w:rsidRPr="008413D6">
              <w:rPr>
                <w:rFonts w:cs="Arial"/>
              </w:rPr>
              <w:t>ment of</w:t>
            </w:r>
            <w:r w:rsidRPr="008413D6">
              <w:rPr>
                <w:rFonts w:cs="Arial"/>
              </w:rPr>
              <w:t xml:space="preserve"> changes</w:t>
            </w:r>
          </w:p>
        </w:tc>
        <w:tc>
          <w:tcPr>
            <w:tcW w:w="1937" w:type="pct"/>
            <w:vAlign w:val="top"/>
          </w:tcPr>
          <w:p w14:paraId="60FBCF3A" w14:textId="77777777" w:rsidR="00975B34" w:rsidRPr="008413D6" w:rsidRDefault="00975B34" w:rsidP="00975B34">
            <w:pPr>
              <w:keepNext/>
              <w:spacing w:before="60" w:after="60"/>
              <w:cnfStyle w:val="000000100000" w:firstRow="0" w:lastRow="0" w:firstColumn="0" w:lastColumn="0" w:oddVBand="0" w:evenVBand="0" w:oddHBand="1" w:evenHBand="0" w:firstRowFirstColumn="0" w:firstRowLastColumn="0" w:lastRowFirstColumn="0" w:lastRowLastColumn="0"/>
              <w:rPr>
                <w:rFonts w:cs="Arial"/>
              </w:rPr>
            </w:pPr>
            <w:r w:rsidRPr="008413D6">
              <w:rPr>
                <w:rFonts w:cs="Arial"/>
              </w:rPr>
              <w:t>Late 2021</w:t>
            </w:r>
          </w:p>
        </w:tc>
      </w:tr>
    </w:tbl>
    <w:p w14:paraId="6DB28A92" w14:textId="2BCB7DFB" w:rsidR="0012120B" w:rsidRPr="00A11265" w:rsidRDefault="0012120B" w:rsidP="00F51F16">
      <w:pPr>
        <w:spacing w:before="200"/>
        <w:rPr>
          <w:rFonts w:cs="Arial"/>
        </w:rPr>
      </w:pPr>
    </w:p>
    <w:p w14:paraId="3743FB02" w14:textId="367DBC2A" w:rsidR="00CB560D" w:rsidRPr="00A11265" w:rsidRDefault="00CB560D" w:rsidP="00975B34">
      <w:pPr>
        <w:spacing w:before="200"/>
        <w:ind w:left="66"/>
        <w:rPr>
          <w:rFonts w:ascii="Arial" w:hAnsi="Arial" w:cs="Arial"/>
        </w:rPr>
      </w:pPr>
      <w:r w:rsidRPr="00A11265">
        <w:rPr>
          <w:rFonts w:ascii="Arial" w:hAnsi="Arial" w:cs="Arial"/>
        </w:rPr>
        <w:br w:type="page"/>
      </w:r>
    </w:p>
    <w:p w14:paraId="46015E1B" w14:textId="569EB285" w:rsidR="00CB560D" w:rsidRPr="00A11265" w:rsidRDefault="007163B8" w:rsidP="00CB560D">
      <w:pPr>
        <w:pStyle w:val="Heading1"/>
        <w:rPr>
          <w:lang w:eastAsia="en-AU"/>
        </w:rPr>
      </w:pPr>
      <w:bookmarkStart w:id="55" w:name="_Toc61956188"/>
      <w:r w:rsidRPr="00A11265">
        <w:rPr>
          <w:lang w:eastAsia="en-AU"/>
        </w:rPr>
        <w:lastRenderedPageBreak/>
        <w:t xml:space="preserve">Service </w:t>
      </w:r>
      <w:r w:rsidR="00D42F2F" w:rsidRPr="00A11265">
        <w:rPr>
          <w:lang w:eastAsia="en-AU"/>
        </w:rPr>
        <w:t>definitions</w:t>
      </w:r>
      <w:bookmarkEnd w:id="55"/>
    </w:p>
    <w:p w14:paraId="673F546D" w14:textId="514912B2" w:rsidR="00430CFD" w:rsidRPr="00A11265" w:rsidRDefault="00430CFD" w:rsidP="00430CFD">
      <w:pPr>
        <w:rPr>
          <w:rFonts w:asciiTheme="minorHAnsi" w:hAnsiTheme="minorHAnsi" w:cs="Arial"/>
        </w:rPr>
      </w:pPr>
      <w:r w:rsidRPr="00A11265">
        <w:rPr>
          <w:rFonts w:asciiTheme="minorHAnsi" w:hAnsiTheme="minorHAnsi" w:cs="Arial"/>
        </w:rPr>
        <w:t xml:space="preserve">Clear </w:t>
      </w:r>
      <w:r w:rsidR="007163B8" w:rsidRPr="00A11265">
        <w:rPr>
          <w:rFonts w:asciiTheme="minorHAnsi" w:hAnsiTheme="minorHAnsi" w:cs="Arial"/>
        </w:rPr>
        <w:t xml:space="preserve">identification and </w:t>
      </w:r>
      <w:r w:rsidRPr="00A11265">
        <w:rPr>
          <w:rFonts w:asciiTheme="minorHAnsi" w:hAnsiTheme="minorHAnsi" w:cs="Arial"/>
        </w:rPr>
        <w:t xml:space="preserve">specification of discrete services necessarily underpin any reforms to essential system services arrangements in the Northern Territory’s regulated </w:t>
      </w:r>
      <w:r w:rsidR="00DA2687">
        <w:rPr>
          <w:rFonts w:asciiTheme="minorHAnsi" w:hAnsiTheme="minorHAnsi" w:cs="Arial"/>
        </w:rPr>
        <w:t>power</w:t>
      </w:r>
      <w:r w:rsidRPr="00A11265">
        <w:rPr>
          <w:rFonts w:asciiTheme="minorHAnsi" w:hAnsiTheme="minorHAnsi" w:cs="Arial"/>
        </w:rPr>
        <w:t xml:space="preserve"> systems.</w:t>
      </w:r>
    </w:p>
    <w:p w14:paraId="0396CAD1" w14:textId="452FBEAD" w:rsidR="00430CFD" w:rsidRPr="00A11265" w:rsidRDefault="00430CFD" w:rsidP="00430CFD">
      <w:pPr>
        <w:rPr>
          <w:rFonts w:asciiTheme="minorHAnsi" w:hAnsiTheme="minorHAnsi" w:cs="Arial"/>
        </w:rPr>
      </w:pPr>
      <w:r w:rsidRPr="00A11265">
        <w:rPr>
          <w:rFonts w:asciiTheme="minorHAnsi" w:hAnsiTheme="minorHAnsi" w:cs="Arial"/>
        </w:rPr>
        <w:t>Under</w:t>
      </w:r>
      <w:r w:rsidR="000747E2" w:rsidRPr="00A11265">
        <w:rPr>
          <w:rFonts w:asciiTheme="minorHAnsi" w:hAnsiTheme="minorHAnsi" w:cs="Arial"/>
        </w:rPr>
        <w:t xml:space="preserve"> and in addition to</w:t>
      </w:r>
      <w:r w:rsidRPr="00A11265">
        <w:rPr>
          <w:rFonts w:asciiTheme="minorHAnsi" w:hAnsiTheme="minorHAnsi" w:cs="Arial"/>
        </w:rPr>
        <w:t xml:space="preserve"> t</w:t>
      </w:r>
      <w:r w:rsidR="007163B8" w:rsidRPr="00A11265">
        <w:rPr>
          <w:rFonts w:asciiTheme="minorHAnsi" w:hAnsiTheme="minorHAnsi" w:cs="Arial"/>
        </w:rPr>
        <w:t xml:space="preserve">he </w:t>
      </w:r>
      <w:r w:rsidR="007260F1" w:rsidRPr="00A11265">
        <w:rPr>
          <w:rFonts w:asciiTheme="minorHAnsi" w:hAnsiTheme="minorHAnsi" w:cs="Arial"/>
        </w:rPr>
        <w:t>three</w:t>
      </w:r>
      <w:r w:rsidRPr="00A11265">
        <w:rPr>
          <w:rFonts w:asciiTheme="minorHAnsi" w:hAnsiTheme="minorHAnsi" w:cs="Arial"/>
        </w:rPr>
        <w:t xml:space="preserve"> broad categories of essential system services referred to in Section 1.1 </w:t>
      </w:r>
      <w:r w:rsidR="000747E2" w:rsidRPr="00A11265">
        <w:rPr>
          <w:rFonts w:asciiTheme="minorHAnsi" w:hAnsiTheme="minorHAnsi"/>
        </w:rPr>
        <w:t>—</w:t>
      </w:r>
      <w:r w:rsidR="00D42F2F" w:rsidRPr="00A11265">
        <w:rPr>
          <w:rFonts w:asciiTheme="minorHAnsi" w:hAnsiTheme="minorHAnsi" w:cs="Arial"/>
        </w:rPr>
        <w:t xml:space="preserve"> </w:t>
      </w:r>
      <w:r w:rsidRPr="00A11265">
        <w:rPr>
          <w:rFonts w:asciiTheme="minorHAnsi" w:hAnsiTheme="minorHAnsi" w:cs="Arial"/>
        </w:rPr>
        <w:t>Frequency Mana</w:t>
      </w:r>
      <w:r w:rsidR="007163B8" w:rsidRPr="00A11265">
        <w:rPr>
          <w:rFonts w:asciiTheme="minorHAnsi" w:hAnsiTheme="minorHAnsi" w:cs="Arial"/>
        </w:rPr>
        <w:t>gement, Voltage Management</w:t>
      </w:r>
      <w:r w:rsidR="007260F1" w:rsidRPr="00A11265">
        <w:rPr>
          <w:rFonts w:asciiTheme="minorHAnsi" w:hAnsiTheme="minorHAnsi" w:cs="Arial"/>
        </w:rPr>
        <w:t xml:space="preserve"> and</w:t>
      </w:r>
      <w:r w:rsidR="007163B8" w:rsidRPr="00A11265">
        <w:rPr>
          <w:rFonts w:asciiTheme="minorHAnsi" w:hAnsiTheme="minorHAnsi" w:cs="Arial"/>
        </w:rPr>
        <w:t xml:space="preserve"> </w:t>
      </w:r>
      <w:r w:rsidRPr="00A11265">
        <w:rPr>
          <w:rFonts w:asciiTheme="minorHAnsi" w:hAnsiTheme="minorHAnsi" w:cs="Arial"/>
        </w:rPr>
        <w:t>Restart Services</w:t>
      </w:r>
      <w:r w:rsidR="00D42F2F" w:rsidRPr="00A11265">
        <w:rPr>
          <w:rFonts w:asciiTheme="minorHAnsi" w:hAnsiTheme="minorHAnsi" w:cs="Arial"/>
        </w:rPr>
        <w:t xml:space="preserve"> </w:t>
      </w:r>
      <w:r w:rsidR="000747E2" w:rsidRPr="00A11265">
        <w:rPr>
          <w:rFonts w:asciiTheme="minorHAnsi" w:hAnsiTheme="minorHAnsi"/>
        </w:rPr>
        <w:t>—</w:t>
      </w:r>
      <w:r w:rsidRPr="00A11265">
        <w:rPr>
          <w:rFonts w:asciiTheme="minorHAnsi" w:hAnsiTheme="minorHAnsi" w:cs="Arial"/>
        </w:rPr>
        <w:t xml:space="preserve"> a range of more specific electricity system support services have been defined for use in the NT and other Australian electricity systems.</w:t>
      </w:r>
    </w:p>
    <w:p w14:paraId="098BE68D" w14:textId="7B5F21F5" w:rsidR="00CB560D" w:rsidRPr="00A11265" w:rsidRDefault="008F575E" w:rsidP="00CB560D">
      <w:pPr>
        <w:rPr>
          <w:rFonts w:asciiTheme="minorHAnsi" w:hAnsiTheme="minorHAnsi" w:cs="Arial"/>
        </w:rPr>
      </w:pPr>
      <w:r w:rsidRPr="00A11265">
        <w:rPr>
          <w:rFonts w:asciiTheme="minorHAnsi" w:hAnsiTheme="minorHAnsi" w:cs="Arial"/>
        </w:rPr>
        <w:t>Appropriately defining essential system services</w:t>
      </w:r>
      <w:r w:rsidR="00430CFD" w:rsidRPr="00A11265">
        <w:rPr>
          <w:rFonts w:asciiTheme="minorHAnsi" w:hAnsiTheme="minorHAnsi" w:cs="Arial"/>
        </w:rPr>
        <w:t xml:space="preserve"> for the </w:t>
      </w:r>
      <w:r w:rsidR="00F17647">
        <w:rPr>
          <w:rFonts w:asciiTheme="minorHAnsi" w:hAnsiTheme="minorHAnsi" w:cs="Arial"/>
        </w:rPr>
        <w:t>NT</w:t>
      </w:r>
      <w:r w:rsidR="00430CFD" w:rsidRPr="00A11265">
        <w:rPr>
          <w:rFonts w:asciiTheme="minorHAnsi" w:hAnsiTheme="minorHAnsi" w:cs="Arial"/>
        </w:rPr>
        <w:t xml:space="preserve"> context is critical, and is a complex and technical exercise. </w:t>
      </w:r>
      <w:r w:rsidR="00CA7A17" w:rsidRPr="00A11265">
        <w:rPr>
          <w:rFonts w:asciiTheme="minorHAnsi" w:hAnsiTheme="minorHAnsi" w:cs="Arial"/>
        </w:rPr>
        <w:t xml:space="preserve">The Design Development Team has </w:t>
      </w:r>
      <w:r w:rsidR="00430CFD" w:rsidRPr="00A11265">
        <w:rPr>
          <w:rFonts w:asciiTheme="minorHAnsi" w:hAnsiTheme="minorHAnsi" w:cs="Arial"/>
        </w:rPr>
        <w:t xml:space="preserve">engaged GHD Advisory Services to advise it </w:t>
      </w:r>
      <w:r w:rsidR="00CA7A17" w:rsidRPr="00A11265">
        <w:rPr>
          <w:rFonts w:asciiTheme="minorHAnsi" w:hAnsiTheme="minorHAnsi" w:cs="Arial"/>
        </w:rPr>
        <w:t>on appropriate essential system service</w:t>
      </w:r>
      <w:r w:rsidR="00430CFD" w:rsidRPr="00A11265">
        <w:rPr>
          <w:rFonts w:asciiTheme="minorHAnsi" w:hAnsiTheme="minorHAnsi" w:cs="Arial"/>
        </w:rPr>
        <w:t xml:space="preserve"> definitions. </w:t>
      </w:r>
    </w:p>
    <w:p w14:paraId="30F44239" w14:textId="23DA058E" w:rsidR="00D70070" w:rsidRPr="00A11265" w:rsidRDefault="00CF0556" w:rsidP="00CB560D">
      <w:pPr>
        <w:pStyle w:val="Heading2"/>
        <w:keepNext/>
        <w:rPr>
          <w:lang w:eastAsia="en-AU"/>
        </w:rPr>
      </w:pPr>
      <w:bookmarkStart w:id="56" w:name="_Toc61956189"/>
      <w:r w:rsidRPr="00A11265">
        <w:rPr>
          <w:lang w:eastAsia="en-AU"/>
        </w:rPr>
        <w:t>Background</w:t>
      </w:r>
      <w:bookmarkEnd w:id="56"/>
    </w:p>
    <w:p w14:paraId="49DF1C27" w14:textId="625E1FF4" w:rsidR="00D70070" w:rsidRPr="00A11265" w:rsidRDefault="00D70070" w:rsidP="00D9724C">
      <w:pPr>
        <w:pStyle w:val="Heading3"/>
        <w:rPr>
          <w:szCs w:val="24"/>
          <w:lang w:eastAsia="en-AU"/>
        </w:rPr>
      </w:pPr>
      <w:r w:rsidRPr="00A11265">
        <w:rPr>
          <w:szCs w:val="24"/>
          <w:lang w:eastAsia="en-AU"/>
        </w:rPr>
        <w:t xml:space="preserve">Current </w:t>
      </w:r>
      <w:r w:rsidR="008368B5" w:rsidRPr="00A11265">
        <w:rPr>
          <w:szCs w:val="24"/>
          <w:lang w:eastAsia="en-AU"/>
        </w:rPr>
        <w:t xml:space="preserve">service </w:t>
      </w:r>
      <w:r w:rsidR="005D1754" w:rsidRPr="00A11265">
        <w:rPr>
          <w:szCs w:val="24"/>
          <w:lang w:eastAsia="en-AU"/>
        </w:rPr>
        <w:t>types</w:t>
      </w:r>
    </w:p>
    <w:p w14:paraId="717539BB" w14:textId="3E50C531" w:rsidR="00D70070" w:rsidRPr="00A11265" w:rsidRDefault="00D70070" w:rsidP="00D70070">
      <w:pPr>
        <w:rPr>
          <w:rFonts w:asciiTheme="minorHAnsi" w:hAnsiTheme="minorHAnsi" w:cs="Arial"/>
        </w:rPr>
      </w:pPr>
      <w:r w:rsidRPr="00A11265">
        <w:rPr>
          <w:rFonts w:asciiTheme="minorHAnsi" w:hAnsiTheme="minorHAnsi" w:cs="Arial"/>
        </w:rPr>
        <w:t xml:space="preserve">The current </w:t>
      </w:r>
      <w:r w:rsidR="00042F24" w:rsidRPr="00A11265">
        <w:rPr>
          <w:rFonts w:asciiTheme="minorHAnsi" w:hAnsiTheme="minorHAnsi" w:cs="Arial"/>
        </w:rPr>
        <w:t>essential system services definitions</w:t>
      </w:r>
      <w:r w:rsidRPr="00A11265">
        <w:rPr>
          <w:rFonts w:asciiTheme="minorHAnsi" w:hAnsiTheme="minorHAnsi" w:cs="Arial"/>
        </w:rPr>
        <w:t xml:space="preserve"> and provisions related to their delivery are set out in various codes and guidelines, meaning there is no single point of reference for these services</w:t>
      </w:r>
      <w:r w:rsidR="00042F24" w:rsidRPr="00A11265">
        <w:rPr>
          <w:rFonts w:asciiTheme="minorHAnsi" w:hAnsiTheme="minorHAnsi" w:cs="Arial"/>
        </w:rPr>
        <w:t xml:space="preserve"> (</w:t>
      </w:r>
      <w:r w:rsidRPr="00A11265">
        <w:rPr>
          <w:rFonts w:asciiTheme="minorHAnsi" w:hAnsiTheme="minorHAnsi" w:cs="Arial"/>
        </w:rPr>
        <w:t xml:space="preserve">which are currently referred to in all codes as </w:t>
      </w:r>
      <w:r w:rsidR="00042F24" w:rsidRPr="00A11265">
        <w:rPr>
          <w:rFonts w:asciiTheme="minorHAnsi" w:hAnsiTheme="minorHAnsi" w:cs="Arial"/>
        </w:rPr>
        <w:t>‘</w:t>
      </w:r>
      <w:r w:rsidRPr="00A11265">
        <w:rPr>
          <w:rFonts w:asciiTheme="minorHAnsi" w:hAnsiTheme="minorHAnsi" w:cs="Arial"/>
        </w:rPr>
        <w:t>ancillary services</w:t>
      </w:r>
      <w:r w:rsidR="00042F24" w:rsidRPr="00A11265">
        <w:rPr>
          <w:rFonts w:asciiTheme="minorHAnsi" w:hAnsiTheme="minorHAnsi" w:cs="Arial"/>
        </w:rPr>
        <w:t>’)</w:t>
      </w:r>
      <w:r w:rsidRPr="00A11265">
        <w:rPr>
          <w:rFonts w:asciiTheme="minorHAnsi" w:hAnsiTheme="minorHAnsi" w:cs="Arial"/>
        </w:rPr>
        <w:t xml:space="preserve">. </w:t>
      </w:r>
    </w:p>
    <w:p w14:paraId="2093F58F" w14:textId="0FF17793" w:rsidR="00042F24" w:rsidRPr="00A11265" w:rsidRDefault="00D70070" w:rsidP="00D70070">
      <w:pPr>
        <w:rPr>
          <w:rFonts w:asciiTheme="minorHAnsi" w:hAnsiTheme="minorHAnsi" w:cs="Arial"/>
        </w:rPr>
      </w:pPr>
      <w:r w:rsidRPr="00A11265">
        <w:rPr>
          <w:rFonts w:asciiTheme="minorHAnsi" w:hAnsiTheme="minorHAnsi" w:cs="Arial"/>
        </w:rPr>
        <w:t xml:space="preserve">The Network Technical Code (NTC) </w:t>
      </w:r>
      <w:r w:rsidR="00042F24" w:rsidRPr="00A11265">
        <w:rPr>
          <w:rFonts w:asciiTheme="minorHAnsi" w:hAnsiTheme="minorHAnsi" w:cs="Arial"/>
        </w:rPr>
        <w:t>defines essential system services as comprising</w:t>
      </w:r>
      <w:r w:rsidRPr="00A11265">
        <w:rPr>
          <w:rFonts w:asciiTheme="minorHAnsi" w:hAnsiTheme="minorHAnsi" w:cs="Arial"/>
        </w:rPr>
        <w:t xml:space="preserve"> </w:t>
      </w:r>
      <w:r w:rsidR="00430CFD" w:rsidRPr="00A11265">
        <w:rPr>
          <w:rFonts w:asciiTheme="minorHAnsi" w:hAnsiTheme="minorHAnsi" w:cs="Arial"/>
        </w:rPr>
        <w:t>‘</w:t>
      </w:r>
      <w:r w:rsidRPr="00A11265">
        <w:rPr>
          <w:rFonts w:asciiTheme="minorHAnsi" w:hAnsiTheme="minorHAnsi" w:cs="Arial"/>
        </w:rPr>
        <w:t>voltage control, reactive power control, frequency control, control system services, spinning reserve and post-trip management</w:t>
      </w:r>
      <w:r w:rsidR="00430CFD" w:rsidRPr="00A11265">
        <w:rPr>
          <w:rFonts w:asciiTheme="minorHAnsi" w:hAnsiTheme="minorHAnsi" w:cs="Arial"/>
        </w:rPr>
        <w:t>’ but</w:t>
      </w:r>
      <w:r w:rsidRPr="00A11265">
        <w:rPr>
          <w:rFonts w:asciiTheme="minorHAnsi" w:hAnsiTheme="minorHAnsi" w:cs="Arial"/>
        </w:rPr>
        <w:t xml:space="preserve"> the System Control Technical Code (SCTC) has an alternative definition, of </w:t>
      </w:r>
      <w:r w:rsidR="00430CFD" w:rsidRPr="00A11265">
        <w:rPr>
          <w:rFonts w:asciiTheme="minorHAnsi" w:hAnsiTheme="minorHAnsi" w:cs="Arial"/>
        </w:rPr>
        <w:t>‘</w:t>
      </w:r>
      <w:r w:rsidRPr="00A11265">
        <w:rPr>
          <w:rFonts w:asciiTheme="minorHAnsi" w:hAnsiTheme="minorHAnsi" w:cs="Arial"/>
        </w:rPr>
        <w:t>voltage control, reactive power control, frequency control, and black start capability</w:t>
      </w:r>
      <w:r w:rsidR="00430CFD" w:rsidRPr="00A11265">
        <w:rPr>
          <w:rFonts w:asciiTheme="minorHAnsi" w:hAnsiTheme="minorHAnsi" w:cs="Arial"/>
        </w:rPr>
        <w:t>’</w:t>
      </w:r>
      <w:r w:rsidRPr="00A11265">
        <w:rPr>
          <w:rFonts w:asciiTheme="minorHAnsi" w:hAnsiTheme="minorHAnsi" w:cs="Arial"/>
        </w:rPr>
        <w:t>.</w:t>
      </w:r>
    </w:p>
    <w:p w14:paraId="3934C195" w14:textId="6864AEAD" w:rsidR="00D70070" w:rsidRPr="00A11265" w:rsidRDefault="00D70070" w:rsidP="00D70070">
      <w:pPr>
        <w:rPr>
          <w:rFonts w:asciiTheme="minorHAnsi" w:hAnsiTheme="minorHAnsi" w:cs="Arial"/>
        </w:rPr>
      </w:pPr>
      <w:r w:rsidRPr="00A11265">
        <w:rPr>
          <w:rFonts w:asciiTheme="minorHAnsi" w:hAnsiTheme="minorHAnsi" w:cs="Arial"/>
        </w:rPr>
        <w:t xml:space="preserve">In practice, the requirements for </w:t>
      </w:r>
      <w:r w:rsidR="005D1754" w:rsidRPr="00A11265">
        <w:rPr>
          <w:rFonts w:asciiTheme="minorHAnsi" w:hAnsiTheme="minorHAnsi" w:cs="Arial"/>
        </w:rPr>
        <w:t>essential system services</w:t>
      </w:r>
      <w:r w:rsidRPr="00A11265">
        <w:rPr>
          <w:rFonts w:asciiTheme="minorHAnsi" w:hAnsiTheme="minorHAnsi" w:cs="Arial"/>
        </w:rPr>
        <w:t xml:space="preserve"> and what they must accomplish in terms of power quality</w:t>
      </w:r>
      <w:r w:rsidR="00042F24" w:rsidRPr="00A11265">
        <w:rPr>
          <w:rFonts w:asciiTheme="minorHAnsi" w:hAnsiTheme="minorHAnsi" w:cs="Arial"/>
        </w:rPr>
        <w:t xml:space="preserve"> and</w:t>
      </w:r>
      <w:r w:rsidRPr="00A11265">
        <w:rPr>
          <w:rFonts w:asciiTheme="minorHAnsi" w:hAnsiTheme="minorHAnsi" w:cs="Arial"/>
        </w:rPr>
        <w:t xml:space="preserve"> system security are set out in </w:t>
      </w:r>
      <w:r w:rsidR="00042F24" w:rsidRPr="00A11265">
        <w:rPr>
          <w:rFonts w:asciiTheme="minorHAnsi" w:hAnsiTheme="minorHAnsi" w:cs="Arial"/>
        </w:rPr>
        <w:t xml:space="preserve">Chapter 5 of </w:t>
      </w:r>
      <w:r w:rsidRPr="00A11265">
        <w:rPr>
          <w:rFonts w:asciiTheme="minorHAnsi" w:hAnsiTheme="minorHAnsi" w:cs="Arial"/>
        </w:rPr>
        <w:t>the S</w:t>
      </w:r>
      <w:r w:rsidR="00430CFD" w:rsidRPr="00A11265">
        <w:rPr>
          <w:rFonts w:asciiTheme="minorHAnsi" w:hAnsiTheme="minorHAnsi" w:cs="Arial"/>
        </w:rPr>
        <w:t>CTC</w:t>
      </w:r>
      <w:r w:rsidRPr="00A11265">
        <w:rPr>
          <w:rFonts w:asciiTheme="minorHAnsi" w:hAnsiTheme="minorHAnsi" w:cs="Arial"/>
        </w:rPr>
        <w:t xml:space="preserve"> while further guidance on how these services are specified and procured by the System Controller is given in the Secure</w:t>
      </w:r>
      <w:r w:rsidR="00186F17" w:rsidRPr="00A11265">
        <w:rPr>
          <w:rFonts w:asciiTheme="minorHAnsi" w:hAnsiTheme="minorHAnsi" w:cs="Arial"/>
        </w:rPr>
        <w:t xml:space="preserve"> System</w:t>
      </w:r>
      <w:r w:rsidRPr="00A11265">
        <w:rPr>
          <w:rFonts w:asciiTheme="minorHAnsi" w:hAnsiTheme="minorHAnsi" w:cs="Arial"/>
        </w:rPr>
        <w:t xml:space="preserve"> Guidelines (SSG).</w:t>
      </w:r>
    </w:p>
    <w:p w14:paraId="00124E76" w14:textId="51DA40ED" w:rsidR="00D70070" w:rsidRPr="00A11265" w:rsidRDefault="00D70070" w:rsidP="00D70070">
      <w:pPr>
        <w:rPr>
          <w:rFonts w:asciiTheme="minorHAnsi" w:hAnsiTheme="minorHAnsi" w:cs="Arial"/>
        </w:rPr>
      </w:pPr>
      <w:r w:rsidRPr="00A11265">
        <w:rPr>
          <w:rFonts w:asciiTheme="minorHAnsi" w:hAnsiTheme="minorHAnsi" w:cs="Arial"/>
        </w:rPr>
        <w:t xml:space="preserve">The current arrangements for </w:t>
      </w:r>
      <w:r w:rsidR="005D1754" w:rsidRPr="00A11265">
        <w:rPr>
          <w:rFonts w:asciiTheme="minorHAnsi" w:hAnsiTheme="minorHAnsi" w:cs="Arial"/>
        </w:rPr>
        <w:t>essential system services</w:t>
      </w:r>
      <w:r w:rsidRPr="00A11265">
        <w:rPr>
          <w:rFonts w:asciiTheme="minorHAnsi" w:hAnsiTheme="minorHAnsi" w:cs="Arial"/>
        </w:rPr>
        <w:t>, as defined in the SSG</w:t>
      </w:r>
      <w:r w:rsidR="00522241">
        <w:rPr>
          <w:rFonts w:asciiTheme="minorHAnsi" w:hAnsiTheme="minorHAnsi" w:cs="Arial"/>
        </w:rPr>
        <w:t>,</w:t>
      </w:r>
      <w:r w:rsidRPr="00A11265">
        <w:rPr>
          <w:rFonts w:asciiTheme="minorHAnsi" w:hAnsiTheme="minorHAnsi" w:cs="Arial"/>
        </w:rPr>
        <w:t xml:space="preserve"> are outlined</w:t>
      </w:r>
      <w:r w:rsidR="005D1754" w:rsidRPr="00A11265">
        <w:rPr>
          <w:rFonts w:asciiTheme="minorHAnsi" w:hAnsiTheme="minorHAnsi" w:cs="Arial"/>
        </w:rPr>
        <w:t xml:space="preserve"> in</w:t>
      </w:r>
      <w:r w:rsidRPr="00A11265">
        <w:rPr>
          <w:rFonts w:asciiTheme="minorHAnsi" w:hAnsiTheme="minorHAnsi" w:cs="Arial"/>
        </w:rPr>
        <w:t xml:space="preserve"> Table </w:t>
      </w:r>
      <w:r w:rsidR="0059694D" w:rsidRPr="00A11265">
        <w:rPr>
          <w:rFonts w:asciiTheme="minorHAnsi" w:hAnsiTheme="minorHAnsi" w:cs="Arial"/>
        </w:rPr>
        <w:t>2</w:t>
      </w:r>
      <w:r w:rsidR="00D3140A" w:rsidRPr="00A11265">
        <w:rPr>
          <w:rFonts w:asciiTheme="minorHAnsi" w:hAnsiTheme="minorHAnsi" w:cs="Arial"/>
        </w:rPr>
        <w:t>-</w:t>
      </w:r>
      <w:r w:rsidRPr="00A11265">
        <w:rPr>
          <w:rFonts w:asciiTheme="minorHAnsi" w:hAnsiTheme="minorHAnsi" w:cs="Arial"/>
        </w:rPr>
        <w:t>1.</w:t>
      </w:r>
    </w:p>
    <w:p w14:paraId="16B5AB5C" w14:textId="6AAF958B" w:rsidR="00D3140A" w:rsidRPr="00A11265" w:rsidRDefault="0059694D" w:rsidP="00D9724C">
      <w:pPr>
        <w:keepNext/>
        <w:spacing w:after="0"/>
        <w:rPr>
          <w:rFonts w:asciiTheme="minorHAnsi" w:hAnsiTheme="minorHAnsi" w:cs="Arial"/>
          <w:b/>
        </w:rPr>
      </w:pPr>
      <w:r w:rsidRPr="00A11265">
        <w:rPr>
          <w:rFonts w:asciiTheme="minorHAnsi" w:hAnsiTheme="minorHAnsi" w:cs="Arial"/>
          <w:b/>
        </w:rPr>
        <w:t>Table 2</w:t>
      </w:r>
      <w:r w:rsidR="008D17EB" w:rsidRPr="00A11265">
        <w:rPr>
          <w:rFonts w:asciiTheme="minorHAnsi" w:hAnsiTheme="minorHAnsi" w:cs="Arial"/>
          <w:b/>
        </w:rPr>
        <w:t>-1</w:t>
      </w:r>
      <w:r w:rsidR="00430CFD" w:rsidRPr="00A11265">
        <w:rPr>
          <w:rFonts w:asciiTheme="minorHAnsi" w:hAnsiTheme="minorHAnsi" w:cs="Arial"/>
          <w:b/>
        </w:rPr>
        <w:tab/>
        <w:t>Current</w:t>
      </w:r>
      <w:r w:rsidR="008F575E" w:rsidRPr="00A11265">
        <w:rPr>
          <w:rFonts w:asciiTheme="minorHAnsi" w:hAnsiTheme="minorHAnsi" w:cs="Arial"/>
          <w:b/>
        </w:rPr>
        <w:t xml:space="preserve"> essential system service </w:t>
      </w:r>
      <w:r w:rsidR="005D1754" w:rsidRPr="00A11265">
        <w:rPr>
          <w:rFonts w:asciiTheme="minorHAnsi" w:hAnsiTheme="minorHAnsi" w:cs="Arial"/>
          <w:b/>
        </w:rPr>
        <w:t>types</w:t>
      </w:r>
      <w:r w:rsidR="00430CFD" w:rsidRPr="00A11265">
        <w:rPr>
          <w:rFonts w:asciiTheme="minorHAnsi" w:hAnsiTheme="minorHAnsi" w:cs="Arial"/>
          <w:b/>
        </w:rPr>
        <w:t xml:space="preserve"> </w:t>
      </w:r>
      <w:r w:rsidR="0099483B" w:rsidRPr="00A11265">
        <w:rPr>
          <w:rFonts w:asciiTheme="minorHAnsi" w:hAnsiTheme="minorHAnsi" w:cs="Arial"/>
          <w:b/>
        </w:rPr>
        <w:t>—</w:t>
      </w:r>
      <w:r w:rsidR="00430CFD" w:rsidRPr="00A11265">
        <w:rPr>
          <w:rFonts w:asciiTheme="minorHAnsi" w:hAnsiTheme="minorHAnsi" w:cs="Arial"/>
          <w:b/>
        </w:rPr>
        <w:t xml:space="preserve"> NT regulated </w:t>
      </w:r>
      <w:r w:rsidR="00D966DE" w:rsidRPr="00A11265">
        <w:rPr>
          <w:rFonts w:asciiTheme="minorHAnsi" w:hAnsiTheme="minorHAnsi" w:cs="Arial"/>
          <w:b/>
        </w:rPr>
        <w:t>systems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490"/>
      </w:tblGrid>
      <w:tr w:rsidR="00D9724C" w:rsidRPr="00A11265" w14:paraId="69644FCF" w14:textId="77777777" w:rsidTr="00880607">
        <w:trPr>
          <w:tblHeader/>
        </w:trPr>
        <w:tc>
          <w:tcPr>
            <w:tcW w:w="1855" w:type="pct"/>
            <w:tcBorders>
              <w:top w:val="single" w:sz="4" w:space="0" w:color="auto"/>
              <w:bottom w:val="single" w:sz="4" w:space="0" w:color="auto"/>
            </w:tcBorders>
          </w:tcPr>
          <w:p w14:paraId="5F418CF2" w14:textId="099E337F" w:rsidR="00D3140A" w:rsidRPr="00A11265" w:rsidRDefault="00D3140A" w:rsidP="00D9724C">
            <w:pPr>
              <w:keepNext/>
              <w:spacing w:before="60" w:after="60"/>
              <w:rPr>
                <w:rFonts w:asciiTheme="minorHAnsi" w:hAnsiTheme="minorHAnsi" w:cs="Arial"/>
                <w:b/>
              </w:rPr>
            </w:pPr>
            <w:r w:rsidRPr="00A11265">
              <w:rPr>
                <w:rFonts w:asciiTheme="minorHAnsi" w:hAnsiTheme="minorHAnsi" w:cs="Arial"/>
                <w:b/>
              </w:rPr>
              <w:t>Type of service</w:t>
            </w:r>
          </w:p>
        </w:tc>
        <w:tc>
          <w:tcPr>
            <w:tcW w:w="3145" w:type="pct"/>
            <w:tcBorders>
              <w:bottom w:val="single" w:sz="4" w:space="0" w:color="auto"/>
            </w:tcBorders>
          </w:tcPr>
          <w:p w14:paraId="70C8FB79" w14:textId="004A9574" w:rsidR="00D3140A" w:rsidRPr="00A11265" w:rsidRDefault="00D3140A" w:rsidP="00D9724C">
            <w:pPr>
              <w:keepNext/>
              <w:spacing w:before="60" w:after="60"/>
              <w:rPr>
                <w:rFonts w:asciiTheme="minorHAnsi" w:hAnsiTheme="minorHAnsi" w:cs="Arial"/>
                <w:b/>
              </w:rPr>
            </w:pPr>
            <w:r w:rsidRPr="00A11265">
              <w:rPr>
                <w:rFonts w:asciiTheme="minorHAnsi" w:hAnsiTheme="minorHAnsi" w:cs="Arial"/>
                <w:b/>
              </w:rPr>
              <w:t>Service</w:t>
            </w:r>
          </w:p>
        </w:tc>
      </w:tr>
      <w:tr w:rsidR="00D9724C" w:rsidRPr="00A11265" w14:paraId="483E9FA4" w14:textId="77777777" w:rsidTr="00074521">
        <w:tc>
          <w:tcPr>
            <w:tcW w:w="1855" w:type="pct"/>
            <w:vMerge w:val="restart"/>
            <w:tcBorders>
              <w:top w:val="single" w:sz="4" w:space="0" w:color="auto"/>
              <w:bottom w:val="single" w:sz="4" w:space="0" w:color="auto"/>
            </w:tcBorders>
          </w:tcPr>
          <w:p w14:paraId="4856A5F8" w14:textId="5EF6D1FD" w:rsidR="00D3140A" w:rsidRPr="00A11265" w:rsidRDefault="00D3140A" w:rsidP="00D9724C">
            <w:pPr>
              <w:keepNext/>
              <w:spacing w:before="60" w:after="60"/>
              <w:rPr>
                <w:rFonts w:asciiTheme="minorHAnsi" w:hAnsiTheme="minorHAnsi" w:cs="Arial"/>
              </w:rPr>
            </w:pPr>
            <w:r w:rsidRPr="00A11265">
              <w:rPr>
                <w:rFonts w:asciiTheme="minorHAnsi" w:hAnsiTheme="minorHAnsi" w:cs="Arial"/>
              </w:rPr>
              <w:t>Frequency management</w:t>
            </w:r>
          </w:p>
        </w:tc>
        <w:tc>
          <w:tcPr>
            <w:tcW w:w="3145" w:type="pct"/>
            <w:tcBorders>
              <w:top w:val="single" w:sz="4" w:space="0" w:color="auto"/>
              <w:bottom w:val="single" w:sz="4" w:space="0" w:color="auto"/>
            </w:tcBorders>
          </w:tcPr>
          <w:p w14:paraId="3F29F8E8" w14:textId="7C6B61A0" w:rsidR="00D3140A" w:rsidRPr="00A11265" w:rsidRDefault="00D3140A" w:rsidP="00D9724C">
            <w:pPr>
              <w:keepNext/>
              <w:spacing w:before="60" w:after="60"/>
              <w:rPr>
                <w:rFonts w:asciiTheme="minorHAnsi" w:hAnsiTheme="minorHAnsi" w:cs="Arial"/>
              </w:rPr>
            </w:pPr>
            <w:r w:rsidRPr="00A11265">
              <w:rPr>
                <w:rFonts w:asciiTheme="minorHAnsi" w:hAnsiTheme="minorHAnsi"/>
              </w:rPr>
              <w:t>Regulating Frequency Control Ancillary Services (R-FCAS)</w:t>
            </w:r>
          </w:p>
        </w:tc>
      </w:tr>
      <w:tr w:rsidR="00D9724C" w:rsidRPr="00A11265" w14:paraId="6FCE0560" w14:textId="77777777" w:rsidTr="00074521">
        <w:tc>
          <w:tcPr>
            <w:tcW w:w="1855" w:type="pct"/>
            <w:vMerge/>
            <w:tcBorders>
              <w:top w:val="single" w:sz="4" w:space="0" w:color="auto"/>
              <w:bottom w:val="single" w:sz="4" w:space="0" w:color="auto"/>
            </w:tcBorders>
          </w:tcPr>
          <w:p w14:paraId="257F3BBC" w14:textId="77777777" w:rsidR="00D3140A" w:rsidRPr="00A11265" w:rsidRDefault="00D3140A" w:rsidP="00D9724C">
            <w:pPr>
              <w:keepNext/>
              <w:spacing w:before="60" w:after="60"/>
              <w:rPr>
                <w:rFonts w:asciiTheme="minorHAnsi" w:hAnsiTheme="minorHAnsi" w:cs="Arial"/>
              </w:rPr>
            </w:pPr>
          </w:p>
        </w:tc>
        <w:tc>
          <w:tcPr>
            <w:tcW w:w="3145" w:type="pct"/>
            <w:tcBorders>
              <w:top w:val="single" w:sz="4" w:space="0" w:color="auto"/>
              <w:bottom w:val="single" w:sz="4" w:space="0" w:color="auto"/>
            </w:tcBorders>
          </w:tcPr>
          <w:p w14:paraId="3E8D3827" w14:textId="77777777" w:rsidR="00D3140A" w:rsidRPr="00A11265" w:rsidRDefault="00D3140A" w:rsidP="00D9724C">
            <w:pPr>
              <w:pStyle w:val="Body"/>
              <w:keepNext/>
              <w:spacing w:after="60"/>
              <w:rPr>
                <w:rFonts w:asciiTheme="minorHAnsi" w:hAnsiTheme="minorHAnsi"/>
                <w:sz w:val="22"/>
                <w:szCs w:val="22"/>
              </w:rPr>
            </w:pPr>
            <w:r w:rsidRPr="00A11265">
              <w:rPr>
                <w:rFonts w:asciiTheme="minorHAnsi" w:hAnsiTheme="minorHAnsi"/>
                <w:sz w:val="22"/>
                <w:szCs w:val="22"/>
              </w:rPr>
              <w:t>Contingency Frequency Control Ancillary Service (C-FCAS)</w:t>
            </w:r>
          </w:p>
          <w:p w14:paraId="4AB001EA" w14:textId="6D08E237" w:rsidR="00D3140A" w:rsidRPr="00A11265" w:rsidRDefault="00D3140A" w:rsidP="00E02062">
            <w:pPr>
              <w:pStyle w:val="Body"/>
              <w:keepNext/>
              <w:numPr>
                <w:ilvl w:val="0"/>
                <w:numId w:val="13"/>
              </w:numPr>
              <w:spacing w:after="60"/>
              <w:rPr>
                <w:rFonts w:asciiTheme="minorHAnsi" w:hAnsiTheme="minorHAnsi"/>
                <w:sz w:val="22"/>
                <w:szCs w:val="22"/>
              </w:rPr>
            </w:pPr>
            <w:r w:rsidRPr="00A11265">
              <w:rPr>
                <w:rFonts w:asciiTheme="minorHAnsi" w:hAnsiTheme="minorHAnsi"/>
                <w:sz w:val="22"/>
                <w:szCs w:val="22"/>
              </w:rPr>
              <w:t xml:space="preserve">Raise </w:t>
            </w:r>
            <w:r w:rsidR="0099483B" w:rsidRPr="00A11265">
              <w:rPr>
                <w:rFonts w:asciiTheme="minorHAnsi" w:hAnsiTheme="minorHAnsi"/>
                <w:sz w:val="22"/>
                <w:szCs w:val="22"/>
              </w:rPr>
              <w:t>—</w:t>
            </w:r>
            <w:r w:rsidRPr="00A11265">
              <w:rPr>
                <w:rFonts w:asciiTheme="minorHAnsi" w:hAnsiTheme="minorHAnsi"/>
                <w:sz w:val="22"/>
                <w:szCs w:val="22"/>
              </w:rPr>
              <w:t xml:space="preserve"> fast, slow, delayed</w:t>
            </w:r>
          </w:p>
          <w:p w14:paraId="1D235704" w14:textId="08DB4754" w:rsidR="00D3140A" w:rsidRPr="00A11265" w:rsidRDefault="00D3140A" w:rsidP="0099483B">
            <w:pPr>
              <w:pStyle w:val="Body"/>
              <w:keepNext/>
              <w:numPr>
                <w:ilvl w:val="0"/>
                <w:numId w:val="13"/>
              </w:numPr>
              <w:spacing w:after="60"/>
              <w:rPr>
                <w:rFonts w:asciiTheme="minorHAnsi" w:hAnsiTheme="minorHAnsi" w:cs="Arial"/>
              </w:rPr>
            </w:pPr>
            <w:r w:rsidRPr="00A11265">
              <w:rPr>
                <w:rFonts w:asciiTheme="minorHAnsi" w:hAnsiTheme="minorHAnsi"/>
                <w:sz w:val="22"/>
                <w:szCs w:val="22"/>
              </w:rPr>
              <w:t xml:space="preserve">Lower </w:t>
            </w:r>
            <w:r w:rsidR="0099483B" w:rsidRPr="00A11265">
              <w:rPr>
                <w:rFonts w:asciiTheme="minorHAnsi" w:hAnsiTheme="minorHAnsi"/>
                <w:sz w:val="22"/>
                <w:szCs w:val="22"/>
              </w:rPr>
              <w:t>—</w:t>
            </w:r>
            <w:r w:rsidRPr="00A11265">
              <w:rPr>
                <w:rFonts w:asciiTheme="minorHAnsi" w:hAnsiTheme="minorHAnsi"/>
                <w:sz w:val="22"/>
                <w:szCs w:val="22"/>
              </w:rPr>
              <w:t xml:space="preserve"> fast, slow, delayed</w:t>
            </w:r>
          </w:p>
        </w:tc>
      </w:tr>
      <w:tr w:rsidR="00D9724C" w:rsidRPr="00A11265" w14:paraId="43B8B2CE" w14:textId="77777777" w:rsidTr="00074521">
        <w:tc>
          <w:tcPr>
            <w:tcW w:w="1855" w:type="pct"/>
            <w:vMerge/>
            <w:tcBorders>
              <w:top w:val="single" w:sz="4" w:space="0" w:color="auto"/>
              <w:bottom w:val="single" w:sz="4" w:space="0" w:color="auto"/>
            </w:tcBorders>
          </w:tcPr>
          <w:p w14:paraId="4DB1144F" w14:textId="77777777" w:rsidR="00D3140A" w:rsidRPr="00A11265" w:rsidRDefault="00D3140A" w:rsidP="00D9724C">
            <w:pPr>
              <w:keepNext/>
              <w:spacing w:before="60" w:after="60"/>
              <w:rPr>
                <w:rFonts w:asciiTheme="minorHAnsi" w:hAnsiTheme="minorHAnsi" w:cs="Arial"/>
              </w:rPr>
            </w:pPr>
          </w:p>
        </w:tc>
        <w:tc>
          <w:tcPr>
            <w:tcW w:w="3145" w:type="pct"/>
            <w:tcBorders>
              <w:top w:val="single" w:sz="4" w:space="0" w:color="auto"/>
              <w:bottom w:val="single" w:sz="4" w:space="0" w:color="auto"/>
            </w:tcBorders>
          </w:tcPr>
          <w:p w14:paraId="1D64EBD9" w14:textId="6D393640" w:rsidR="00D3140A" w:rsidRPr="00A11265" w:rsidRDefault="00D3140A" w:rsidP="00D9724C">
            <w:pPr>
              <w:keepNext/>
              <w:spacing w:before="60" w:after="60"/>
              <w:rPr>
                <w:rFonts w:asciiTheme="minorHAnsi" w:hAnsiTheme="minorHAnsi" w:cs="Arial"/>
              </w:rPr>
            </w:pPr>
            <w:r w:rsidRPr="00A11265">
              <w:rPr>
                <w:rFonts w:asciiTheme="minorHAnsi" w:hAnsiTheme="minorHAnsi"/>
              </w:rPr>
              <w:t>Inertia Frequency Control Ancillary Services (I-FCAS)</w:t>
            </w:r>
          </w:p>
        </w:tc>
      </w:tr>
      <w:tr w:rsidR="00D9724C" w:rsidRPr="00A11265" w14:paraId="0381E290" w14:textId="77777777" w:rsidTr="00074521">
        <w:tc>
          <w:tcPr>
            <w:tcW w:w="1855" w:type="pct"/>
            <w:vMerge/>
            <w:tcBorders>
              <w:top w:val="single" w:sz="4" w:space="0" w:color="auto"/>
              <w:bottom w:val="single" w:sz="4" w:space="0" w:color="auto"/>
            </w:tcBorders>
          </w:tcPr>
          <w:p w14:paraId="1FB073E9" w14:textId="77777777" w:rsidR="00D3140A" w:rsidRPr="00A11265" w:rsidRDefault="00D3140A" w:rsidP="00D9724C">
            <w:pPr>
              <w:keepNext/>
              <w:spacing w:before="60" w:after="60"/>
              <w:rPr>
                <w:rFonts w:asciiTheme="minorHAnsi" w:hAnsiTheme="minorHAnsi" w:cs="Arial"/>
              </w:rPr>
            </w:pPr>
          </w:p>
        </w:tc>
        <w:tc>
          <w:tcPr>
            <w:tcW w:w="3145" w:type="pct"/>
            <w:tcBorders>
              <w:top w:val="single" w:sz="4" w:space="0" w:color="auto"/>
              <w:bottom w:val="single" w:sz="4" w:space="0" w:color="auto"/>
            </w:tcBorders>
          </w:tcPr>
          <w:p w14:paraId="4F5B7AC6" w14:textId="46E327BE" w:rsidR="00D3140A" w:rsidRPr="00A11265" w:rsidRDefault="00D3140A" w:rsidP="00D9724C">
            <w:pPr>
              <w:keepNext/>
              <w:spacing w:before="60" w:after="60"/>
              <w:rPr>
                <w:rFonts w:asciiTheme="minorHAnsi" w:hAnsiTheme="minorHAnsi" w:cs="Arial"/>
              </w:rPr>
            </w:pPr>
            <w:r w:rsidRPr="00A11265">
              <w:rPr>
                <w:rFonts w:asciiTheme="minorHAnsi" w:hAnsiTheme="minorHAnsi"/>
              </w:rPr>
              <w:t>Spinning reserve</w:t>
            </w:r>
          </w:p>
        </w:tc>
      </w:tr>
      <w:tr w:rsidR="00D9724C" w:rsidRPr="00A11265" w14:paraId="469477A5" w14:textId="77777777" w:rsidTr="00074521">
        <w:tc>
          <w:tcPr>
            <w:tcW w:w="1855" w:type="pct"/>
            <w:vMerge w:val="restart"/>
            <w:tcBorders>
              <w:top w:val="single" w:sz="4" w:space="0" w:color="auto"/>
              <w:bottom w:val="single" w:sz="4" w:space="0" w:color="auto"/>
            </w:tcBorders>
          </w:tcPr>
          <w:p w14:paraId="28DD5F9E" w14:textId="60F26D30" w:rsidR="00D3140A" w:rsidRPr="00A11265" w:rsidRDefault="00D3140A" w:rsidP="00D9724C">
            <w:pPr>
              <w:keepNext/>
              <w:spacing w:before="60" w:after="60"/>
              <w:rPr>
                <w:rFonts w:asciiTheme="minorHAnsi" w:hAnsiTheme="minorHAnsi" w:cs="Arial"/>
              </w:rPr>
            </w:pPr>
            <w:r w:rsidRPr="00A11265">
              <w:rPr>
                <w:rFonts w:asciiTheme="minorHAnsi" w:hAnsiTheme="minorHAnsi" w:cs="Arial"/>
              </w:rPr>
              <w:t>Voltage management</w:t>
            </w:r>
          </w:p>
        </w:tc>
        <w:tc>
          <w:tcPr>
            <w:tcW w:w="3145" w:type="pct"/>
            <w:tcBorders>
              <w:top w:val="single" w:sz="4" w:space="0" w:color="auto"/>
              <w:bottom w:val="single" w:sz="4" w:space="0" w:color="auto"/>
            </w:tcBorders>
          </w:tcPr>
          <w:p w14:paraId="4FA9F7CE" w14:textId="24C68172" w:rsidR="00D3140A" w:rsidRPr="00A11265" w:rsidRDefault="00D3140A" w:rsidP="00D9724C">
            <w:pPr>
              <w:keepNext/>
              <w:spacing w:before="60" w:after="60"/>
              <w:rPr>
                <w:rFonts w:asciiTheme="minorHAnsi" w:hAnsiTheme="minorHAnsi" w:cs="Arial"/>
              </w:rPr>
            </w:pPr>
            <w:r w:rsidRPr="00A11265">
              <w:rPr>
                <w:rFonts w:asciiTheme="minorHAnsi" w:hAnsiTheme="minorHAnsi"/>
              </w:rPr>
              <w:t>Voltage control</w:t>
            </w:r>
          </w:p>
        </w:tc>
      </w:tr>
      <w:tr w:rsidR="00D9724C" w:rsidRPr="00A11265" w14:paraId="53D640BA" w14:textId="77777777" w:rsidTr="00074521">
        <w:tc>
          <w:tcPr>
            <w:tcW w:w="1855" w:type="pct"/>
            <w:vMerge/>
            <w:tcBorders>
              <w:top w:val="single" w:sz="4" w:space="0" w:color="auto"/>
              <w:bottom w:val="single" w:sz="4" w:space="0" w:color="auto"/>
            </w:tcBorders>
          </w:tcPr>
          <w:p w14:paraId="48BEDEAA" w14:textId="77777777" w:rsidR="00D3140A" w:rsidRPr="00A11265" w:rsidRDefault="00D3140A" w:rsidP="00D9724C">
            <w:pPr>
              <w:keepNext/>
              <w:spacing w:before="60" w:after="60"/>
              <w:rPr>
                <w:rFonts w:asciiTheme="minorHAnsi" w:hAnsiTheme="minorHAnsi" w:cs="Arial"/>
              </w:rPr>
            </w:pPr>
          </w:p>
        </w:tc>
        <w:tc>
          <w:tcPr>
            <w:tcW w:w="3145" w:type="pct"/>
            <w:tcBorders>
              <w:top w:val="single" w:sz="4" w:space="0" w:color="auto"/>
              <w:bottom w:val="single" w:sz="4" w:space="0" w:color="auto"/>
            </w:tcBorders>
          </w:tcPr>
          <w:p w14:paraId="5D7104E9" w14:textId="6E60AECE" w:rsidR="00D3140A" w:rsidRPr="00A11265" w:rsidRDefault="00D3140A" w:rsidP="00D9724C">
            <w:pPr>
              <w:keepNext/>
              <w:spacing w:before="60" w:after="60"/>
              <w:rPr>
                <w:rFonts w:asciiTheme="minorHAnsi" w:hAnsiTheme="minorHAnsi" w:cs="Arial"/>
              </w:rPr>
            </w:pPr>
            <w:r w:rsidRPr="00A11265">
              <w:rPr>
                <w:rFonts w:asciiTheme="minorHAnsi" w:hAnsiTheme="minorHAnsi"/>
              </w:rPr>
              <w:t>Reactive power reserve</w:t>
            </w:r>
          </w:p>
        </w:tc>
      </w:tr>
      <w:tr w:rsidR="00D9724C" w:rsidRPr="00A11265" w14:paraId="1E7BAC54" w14:textId="77777777" w:rsidTr="00074521">
        <w:tc>
          <w:tcPr>
            <w:tcW w:w="1855" w:type="pct"/>
            <w:tcBorders>
              <w:top w:val="single" w:sz="4" w:space="0" w:color="auto"/>
              <w:bottom w:val="single" w:sz="4" w:space="0" w:color="auto"/>
            </w:tcBorders>
          </w:tcPr>
          <w:p w14:paraId="5D7DF07E" w14:textId="3A6991A0" w:rsidR="00D3140A" w:rsidRPr="00A11265" w:rsidRDefault="00D3140A" w:rsidP="00D9724C">
            <w:pPr>
              <w:keepNext/>
              <w:spacing w:before="60" w:after="60"/>
              <w:rPr>
                <w:rFonts w:asciiTheme="minorHAnsi" w:hAnsiTheme="minorHAnsi" w:cs="Arial"/>
              </w:rPr>
            </w:pPr>
            <w:r w:rsidRPr="00A11265">
              <w:rPr>
                <w:rFonts w:asciiTheme="minorHAnsi" w:hAnsiTheme="minorHAnsi"/>
              </w:rPr>
              <w:t>System restart</w:t>
            </w:r>
          </w:p>
        </w:tc>
        <w:tc>
          <w:tcPr>
            <w:tcW w:w="3145" w:type="pct"/>
            <w:tcBorders>
              <w:top w:val="single" w:sz="4" w:space="0" w:color="auto"/>
              <w:bottom w:val="single" w:sz="4" w:space="0" w:color="auto"/>
            </w:tcBorders>
          </w:tcPr>
          <w:p w14:paraId="437FF235" w14:textId="7F0476D8" w:rsidR="00D3140A" w:rsidRPr="00A11265" w:rsidRDefault="00D3140A" w:rsidP="00D9724C">
            <w:pPr>
              <w:keepNext/>
              <w:spacing w:before="60" w:after="60"/>
              <w:rPr>
                <w:rFonts w:asciiTheme="minorHAnsi" w:hAnsiTheme="minorHAnsi" w:cs="Arial"/>
              </w:rPr>
            </w:pPr>
            <w:r w:rsidRPr="00A11265">
              <w:rPr>
                <w:rFonts w:asciiTheme="minorHAnsi" w:hAnsiTheme="minorHAnsi"/>
              </w:rPr>
              <w:t>Black start capability</w:t>
            </w:r>
          </w:p>
        </w:tc>
      </w:tr>
    </w:tbl>
    <w:p w14:paraId="19C7B2AD" w14:textId="4FF14C95" w:rsidR="0008616D" w:rsidRPr="00A11265" w:rsidRDefault="0008616D" w:rsidP="00D9724C">
      <w:pPr>
        <w:pStyle w:val="Caption"/>
        <w:rPr>
          <w:rFonts w:asciiTheme="minorHAnsi" w:hAnsiTheme="minorHAnsi" w:cs="Arial"/>
        </w:rPr>
      </w:pPr>
    </w:p>
    <w:p w14:paraId="68C5F51E" w14:textId="2AB8353D" w:rsidR="00621A4F" w:rsidRPr="00A11265" w:rsidRDefault="0008616D" w:rsidP="00621A4F">
      <w:pPr>
        <w:rPr>
          <w:rFonts w:asciiTheme="minorHAnsi" w:hAnsiTheme="minorHAnsi" w:cs="Arial"/>
        </w:rPr>
      </w:pPr>
      <w:r w:rsidRPr="00A11265">
        <w:rPr>
          <w:rFonts w:asciiTheme="minorHAnsi" w:hAnsiTheme="minorHAnsi" w:cs="Arial"/>
        </w:rPr>
        <w:t>Although</w:t>
      </w:r>
      <w:r w:rsidR="00621A4F" w:rsidRPr="00A11265">
        <w:rPr>
          <w:rFonts w:asciiTheme="minorHAnsi" w:hAnsiTheme="minorHAnsi" w:cs="Arial"/>
        </w:rPr>
        <w:t xml:space="preserve"> the SSG makes provision for the procurement of a variety of different essential system services, in practice the majority of these services are not currently enacted. The SCTC does not codify precisely </w:t>
      </w:r>
      <w:r w:rsidR="00621A4F" w:rsidRPr="00A11265">
        <w:rPr>
          <w:rFonts w:asciiTheme="minorHAnsi" w:hAnsiTheme="minorHAnsi" w:cs="Arial"/>
        </w:rPr>
        <w:lastRenderedPageBreak/>
        <w:t>how essential system services should be procured, instead giving guidance on the outcomes expected of essential system services. Therefore, there is significant scope available for guidance in the SSG to change in line with new technologies or to meet new system requirements.</w:t>
      </w:r>
    </w:p>
    <w:p w14:paraId="0D596461" w14:textId="3E092DF5" w:rsidR="00621A4F" w:rsidRPr="00D24B1D" w:rsidRDefault="00621A4F" w:rsidP="00D24B1D">
      <w:pPr>
        <w:pStyle w:val="Heading4"/>
      </w:pPr>
      <w:r w:rsidRPr="00D24B1D">
        <w:t>Frequency management services</w:t>
      </w:r>
    </w:p>
    <w:p w14:paraId="396CA6F8" w14:textId="51FEFCFA" w:rsidR="00621A4F" w:rsidRPr="00A11265" w:rsidRDefault="00621A4F" w:rsidP="00621A4F">
      <w:pPr>
        <w:rPr>
          <w:rFonts w:asciiTheme="minorHAnsi" w:hAnsiTheme="minorHAnsi" w:cs="Arial"/>
        </w:rPr>
      </w:pPr>
      <w:r w:rsidRPr="00A11265">
        <w:rPr>
          <w:rFonts w:asciiTheme="minorHAnsi" w:hAnsiTheme="minorHAnsi" w:cs="Arial"/>
        </w:rPr>
        <w:t xml:space="preserve">The current ancillary service arrangements as defined in the SSG recognise the need for separate services to manage frequency regulation, frequency under contingencies and </w:t>
      </w:r>
      <w:r w:rsidR="004F6DC5" w:rsidRPr="00A11265">
        <w:rPr>
          <w:rFonts w:asciiTheme="minorHAnsi" w:hAnsiTheme="minorHAnsi" w:cs="Arial"/>
        </w:rPr>
        <w:t>Rate of Change of Frequency (</w:t>
      </w:r>
      <w:proofErr w:type="spellStart"/>
      <w:r w:rsidRPr="00A11265">
        <w:rPr>
          <w:rFonts w:asciiTheme="minorHAnsi" w:hAnsiTheme="minorHAnsi" w:cs="Arial"/>
        </w:rPr>
        <w:t>RoCoF</w:t>
      </w:r>
      <w:proofErr w:type="spellEnd"/>
      <w:r w:rsidR="004F6DC5" w:rsidRPr="00A11265">
        <w:rPr>
          <w:rFonts w:asciiTheme="minorHAnsi" w:hAnsiTheme="minorHAnsi" w:cs="Arial"/>
        </w:rPr>
        <w:t>)</w:t>
      </w:r>
      <w:r w:rsidR="00D966DE" w:rsidRPr="00A11265">
        <w:rPr>
          <w:rFonts w:asciiTheme="minorHAnsi" w:hAnsiTheme="minorHAnsi" w:cs="Arial"/>
        </w:rPr>
        <w:t>.</w:t>
      </w:r>
      <w:r w:rsidRPr="00A11265">
        <w:rPr>
          <w:rFonts w:asciiTheme="minorHAnsi" w:hAnsiTheme="minorHAnsi" w:cs="Arial"/>
        </w:rPr>
        <w:t xml:space="preserve"> However, in practice the actual services procured are not entirely separated. While a separate </w:t>
      </w:r>
      <w:r w:rsidR="00A12371" w:rsidRPr="00A11265">
        <w:rPr>
          <w:rFonts w:asciiTheme="minorHAnsi" w:hAnsiTheme="minorHAnsi" w:cs="Arial"/>
        </w:rPr>
        <w:t>‘</w:t>
      </w:r>
      <w:r w:rsidRPr="00A11265">
        <w:rPr>
          <w:rFonts w:asciiTheme="minorHAnsi" w:hAnsiTheme="minorHAnsi" w:cs="Arial"/>
        </w:rPr>
        <w:t>R</w:t>
      </w:r>
      <w:r w:rsidR="00EE7D01" w:rsidRPr="00A11265">
        <w:rPr>
          <w:rFonts w:asciiTheme="minorHAnsi" w:hAnsiTheme="minorHAnsi" w:cs="Arial"/>
        </w:rPr>
        <w:noBreakHyphen/>
      </w:r>
      <w:r w:rsidRPr="00A11265">
        <w:rPr>
          <w:rFonts w:asciiTheme="minorHAnsi" w:hAnsiTheme="minorHAnsi" w:cs="Arial"/>
        </w:rPr>
        <w:t>FCAS</w:t>
      </w:r>
      <w:r w:rsidR="00A12371" w:rsidRPr="00A11265">
        <w:rPr>
          <w:rFonts w:asciiTheme="minorHAnsi" w:hAnsiTheme="minorHAnsi" w:cs="Arial"/>
        </w:rPr>
        <w:t>’</w:t>
      </w:r>
      <w:r w:rsidRPr="00A11265">
        <w:rPr>
          <w:rFonts w:asciiTheme="minorHAnsi" w:hAnsiTheme="minorHAnsi" w:cs="Arial"/>
        </w:rPr>
        <w:t xml:space="preserve"> regulating service (also referred to as “regulating reserve”) is currently procured, the SSG also lays out guidelines for the procurement of C-FCAS to control frequency under contingencies and I-FCAS to control </w:t>
      </w:r>
      <w:proofErr w:type="spellStart"/>
      <w:r w:rsidRPr="00A11265">
        <w:rPr>
          <w:rFonts w:asciiTheme="minorHAnsi" w:hAnsiTheme="minorHAnsi" w:cs="Arial"/>
        </w:rPr>
        <w:t>RoCoF</w:t>
      </w:r>
      <w:proofErr w:type="spellEnd"/>
      <w:r w:rsidRPr="00A11265">
        <w:rPr>
          <w:rFonts w:asciiTheme="minorHAnsi" w:hAnsiTheme="minorHAnsi" w:cs="Arial"/>
        </w:rPr>
        <w:t>, however</w:t>
      </w:r>
      <w:r w:rsidR="00A12371" w:rsidRPr="00A11265">
        <w:rPr>
          <w:rFonts w:asciiTheme="minorHAnsi" w:hAnsiTheme="minorHAnsi" w:cs="Arial"/>
        </w:rPr>
        <w:t>,</w:t>
      </w:r>
      <w:r w:rsidRPr="00A11265">
        <w:rPr>
          <w:rFonts w:asciiTheme="minorHAnsi" w:hAnsiTheme="minorHAnsi" w:cs="Arial"/>
        </w:rPr>
        <w:t xml:space="preserve"> these are not currently enacted. The current “spinning reserve” ancillary service instead provides a frequency response under contingencies, and inherently provides inertia to control </w:t>
      </w:r>
      <w:proofErr w:type="spellStart"/>
      <w:r w:rsidRPr="00A11265">
        <w:rPr>
          <w:rFonts w:asciiTheme="minorHAnsi" w:hAnsiTheme="minorHAnsi" w:cs="Arial"/>
        </w:rPr>
        <w:t>RoCoF</w:t>
      </w:r>
      <w:proofErr w:type="spellEnd"/>
      <w:r w:rsidRPr="00A11265">
        <w:rPr>
          <w:rFonts w:asciiTheme="minorHAnsi" w:hAnsiTheme="minorHAnsi" w:cs="Arial"/>
        </w:rPr>
        <w:t xml:space="preserve"> as a by-product of synchronous generators holding the spinning reserve.</w:t>
      </w:r>
    </w:p>
    <w:p w14:paraId="4BF308B5" w14:textId="15FB2B74" w:rsidR="00CA7A17" w:rsidRPr="00A11265" w:rsidRDefault="00621A4F" w:rsidP="00621A4F">
      <w:pPr>
        <w:rPr>
          <w:rFonts w:asciiTheme="minorHAnsi" w:hAnsiTheme="minorHAnsi" w:cs="Arial"/>
        </w:rPr>
      </w:pPr>
      <w:r w:rsidRPr="00A11265">
        <w:rPr>
          <w:rFonts w:asciiTheme="minorHAnsi" w:hAnsiTheme="minorHAnsi" w:cs="Arial"/>
        </w:rPr>
        <w:t xml:space="preserve">The minimum requirements and the current use of </w:t>
      </w:r>
      <w:r w:rsidR="00A12371" w:rsidRPr="00A11265">
        <w:rPr>
          <w:rFonts w:asciiTheme="minorHAnsi" w:hAnsiTheme="minorHAnsi" w:cs="Arial"/>
        </w:rPr>
        <w:t>essential system services</w:t>
      </w:r>
      <w:r w:rsidRPr="00A11265">
        <w:rPr>
          <w:rFonts w:asciiTheme="minorHAnsi" w:hAnsiTheme="minorHAnsi" w:cs="Arial"/>
        </w:rPr>
        <w:t xml:space="preserve"> is summarised for each of the regulated power systems in Table </w:t>
      </w:r>
      <w:r w:rsidR="0059694D" w:rsidRPr="00A11265">
        <w:rPr>
          <w:rFonts w:asciiTheme="minorHAnsi" w:hAnsiTheme="minorHAnsi" w:cs="Arial"/>
        </w:rPr>
        <w:t>2</w:t>
      </w:r>
      <w:r w:rsidR="00D966DE" w:rsidRPr="00A11265">
        <w:rPr>
          <w:rFonts w:asciiTheme="minorHAnsi" w:hAnsiTheme="minorHAnsi" w:cs="Arial"/>
        </w:rPr>
        <w:t>-</w:t>
      </w:r>
      <w:r w:rsidRPr="00A11265">
        <w:rPr>
          <w:rFonts w:asciiTheme="minorHAnsi" w:hAnsiTheme="minorHAnsi" w:cs="Arial"/>
        </w:rPr>
        <w:t>2</w:t>
      </w:r>
      <w:r w:rsidR="00D966DE" w:rsidRPr="00A11265">
        <w:rPr>
          <w:rFonts w:asciiTheme="minorHAnsi" w:hAnsiTheme="minorHAnsi" w:cs="Arial"/>
        </w:rPr>
        <w:t>.</w:t>
      </w:r>
    </w:p>
    <w:p w14:paraId="27500AF7" w14:textId="7CFC6AF9" w:rsidR="00CA7A17" w:rsidRPr="00A11265" w:rsidRDefault="00CA7A17" w:rsidP="00CA7A17">
      <w:pPr>
        <w:rPr>
          <w:rFonts w:asciiTheme="minorHAnsi" w:hAnsiTheme="minorHAnsi" w:cs="Arial"/>
        </w:rPr>
      </w:pPr>
      <w:r w:rsidRPr="00A11265">
        <w:rPr>
          <w:rFonts w:asciiTheme="minorHAnsi" w:hAnsiTheme="minorHAnsi" w:cs="Arial"/>
        </w:rPr>
        <w:t>In practice, the System Controller maintains higher combined levels of R-FCAS and Spinning Reserve in the Darwin-Katherine system than specified due to the size of the generators in the system and their minimum safe loadings (and other constraints on operation). The system is actually generally operated with a</w:t>
      </w:r>
      <w:r w:rsidR="00522241">
        <w:rPr>
          <w:rFonts w:asciiTheme="minorHAnsi" w:hAnsiTheme="minorHAnsi" w:cs="Arial"/>
        </w:rPr>
        <w:t>n</w:t>
      </w:r>
      <w:r w:rsidRPr="00A11265">
        <w:rPr>
          <w:rFonts w:asciiTheme="minorHAnsi" w:hAnsiTheme="minorHAnsi" w:cs="Arial"/>
        </w:rPr>
        <w:t xml:space="preserve"> </w:t>
      </w:r>
      <w:r w:rsidR="00522241">
        <w:rPr>
          <w:rFonts w:asciiTheme="minorHAnsi" w:hAnsiTheme="minorHAnsi" w:cs="Arial"/>
        </w:rPr>
        <w:t xml:space="preserve">average </w:t>
      </w:r>
      <w:r w:rsidRPr="00A11265">
        <w:rPr>
          <w:rFonts w:asciiTheme="minorHAnsi" w:hAnsiTheme="minorHAnsi" w:cs="Arial"/>
        </w:rPr>
        <w:t xml:space="preserve">level of reserve capacity of </w:t>
      </w:r>
      <w:r w:rsidR="00DA44B5">
        <w:rPr>
          <w:rFonts w:asciiTheme="minorHAnsi" w:hAnsiTheme="minorHAnsi" w:cs="Arial"/>
        </w:rPr>
        <w:t>about</w:t>
      </w:r>
      <w:r w:rsidRPr="00A11265">
        <w:rPr>
          <w:rFonts w:asciiTheme="minorHAnsi" w:hAnsiTheme="minorHAnsi" w:cs="Arial"/>
        </w:rPr>
        <w:t xml:space="preserve"> 40 </w:t>
      </w:r>
      <w:r w:rsidR="00EC7512" w:rsidRPr="00A11265">
        <w:rPr>
          <w:rFonts w:asciiTheme="minorHAnsi" w:hAnsiTheme="minorHAnsi" w:cs="Arial"/>
        </w:rPr>
        <w:t>megawatts (</w:t>
      </w:r>
      <w:r w:rsidRPr="00A11265">
        <w:rPr>
          <w:rFonts w:asciiTheme="minorHAnsi" w:hAnsiTheme="minorHAnsi" w:cs="Arial"/>
        </w:rPr>
        <w:t>MW</w:t>
      </w:r>
      <w:r w:rsidR="00EC7512" w:rsidRPr="00A11265">
        <w:rPr>
          <w:rFonts w:asciiTheme="minorHAnsi" w:hAnsiTheme="minorHAnsi" w:cs="Arial"/>
        </w:rPr>
        <w:t>)</w:t>
      </w:r>
      <w:r w:rsidR="00522241">
        <w:rPr>
          <w:rFonts w:asciiTheme="minorHAnsi" w:hAnsiTheme="minorHAnsi" w:cs="Arial"/>
        </w:rPr>
        <w:t>, compared to a minimum specified capacity of 25 MW</w:t>
      </w:r>
      <w:r w:rsidRPr="00A11265">
        <w:rPr>
          <w:rFonts w:asciiTheme="minorHAnsi" w:hAnsiTheme="minorHAnsi" w:cs="Arial"/>
        </w:rPr>
        <w:t>.</w:t>
      </w:r>
    </w:p>
    <w:p w14:paraId="184E47BF" w14:textId="0E73B3A6" w:rsidR="00621A4F" w:rsidRPr="00A11265" w:rsidRDefault="00CA7A17" w:rsidP="00621A4F">
      <w:pPr>
        <w:rPr>
          <w:rFonts w:asciiTheme="minorHAnsi" w:hAnsiTheme="minorHAnsi" w:cs="Arial"/>
        </w:rPr>
      </w:pPr>
      <w:r w:rsidRPr="00A11265">
        <w:rPr>
          <w:rFonts w:asciiTheme="minorHAnsi" w:hAnsiTheme="minorHAnsi" w:cs="Arial"/>
        </w:rPr>
        <w:t>There is also discrepancy between the current codified requirements for spinning reserve and the way they are procured. For example, the Alice Springs system currently has an operational battery energy storage system (BESS) which is used to provide a C-FCAS response (rather than the officially enacted spinning reserve response), however as the requirements are written it is not clear whether this is considered to contribute to the</w:t>
      </w:r>
      <w:r w:rsidR="008F575E" w:rsidRPr="00A11265">
        <w:rPr>
          <w:rFonts w:asciiTheme="minorHAnsi" w:hAnsiTheme="minorHAnsi" w:cs="Arial"/>
        </w:rPr>
        <w:t xml:space="preserve"> spinning reserve total or not.</w:t>
      </w:r>
    </w:p>
    <w:p w14:paraId="47C4F901" w14:textId="77777777" w:rsidR="00EE7D01" w:rsidRPr="00A11265" w:rsidRDefault="00EE7D01" w:rsidP="00D24B1D">
      <w:pPr>
        <w:pStyle w:val="Heading4"/>
      </w:pPr>
      <w:r w:rsidRPr="00A11265">
        <w:t>Voltage management services</w:t>
      </w:r>
    </w:p>
    <w:p w14:paraId="6A916816" w14:textId="68DF77E5" w:rsidR="00EE7D01" w:rsidRPr="00A11265" w:rsidRDefault="00EE7D01" w:rsidP="00EE7D01">
      <w:pPr>
        <w:rPr>
          <w:rFonts w:asciiTheme="minorHAnsi" w:hAnsiTheme="minorHAnsi" w:cs="Arial"/>
        </w:rPr>
      </w:pPr>
      <w:r w:rsidRPr="00A11265">
        <w:rPr>
          <w:rFonts w:asciiTheme="minorHAnsi" w:hAnsiTheme="minorHAnsi" w:cs="Arial"/>
        </w:rPr>
        <w:t xml:space="preserve">Under the current framework, voltage control requirements are defined in the SCTC and NTC. There is currently no formalised </w:t>
      </w:r>
      <w:r w:rsidR="00E7539D" w:rsidRPr="00A11265">
        <w:rPr>
          <w:rFonts w:asciiTheme="minorHAnsi" w:hAnsiTheme="minorHAnsi" w:cs="Arial"/>
        </w:rPr>
        <w:t>essential system service</w:t>
      </w:r>
      <w:r w:rsidRPr="00A11265">
        <w:rPr>
          <w:rFonts w:asciiTheme="minorHAnsi" w:hAnsiTheme="minorHAnsi" w:cs="Arial"/>
        </w:rPr>
        <w:t xml:space="preserve"> for voltage control </w:t>
      </w:r>
      <w:r w:rsidR="00E7539D" w:rsidRPr="00A11265">
        <w:rPr>
          <w:rFonts w:asciiTheme="minorHAnsi" w:hAnsiTheme="minorHAnsi" w:cs="Arial"/>
        </w:rPr>
        <w:t>on</w:t>
      </w:r>
      <w:r w:rsidRPr="00A11265">
        <w:rPr>
          <w:rFonts w:asciiTheme="minorHAnsi" w:hAnsiTheme="minorHAnsi" w:cs="Arial"/>
        </w:rPr>
        <w:t xml:space="preserve"> the NT regulated systems defined in the SSG, although there is provision for a</w:t>
      </w:r>
      <w:r w:rsidR="00E7539D" w:rsidRPr="00A11265">
        <w:rPr>
          <w:rFonts w:asciiTheme="minorHAnsi" w:hAnsiTheme="minorHAnsi" w:cs="Arial"/>
        </w:rPr>
        <w:t xml:space="preserve"> service</w:t>
      </w:r>
      <w:r w:rsidRPr="00A11265">
        <w:rPr>
          <w:rFonts w:asciiTheme="minorHAnsi" w:hAnsiTheme="minorHAnsi" w:cs="Arial"/>
        </w:rPr>
        <w:t xml:space="preserve"> in the SCTC. In practice, voltage control mandates applied by the System Controller can be used to require the provision of voltage control services by system participants.</w:t>
      </w:r>
    </w:p>
    <w:p w14:paraId="07BF9E28" w14:textId="0534A0F0" w:rsidR="00EE7D01" w:rsidRPr="00A11265" w:rsidRDefault="00EE7D01" w:rsidP="00621A4F">
      <w:pPr>
        <w:rPr>
          <w:rFonts w:asciiTheme="minorHAnsi" w:hAnsiTheme="minorHAnsi" w:cs="Arial"/>
        </w:rPr>
      </w:pPr>
      <w:r w:rsidRPr="00A11265">
        <w:rPr>
          <w:rFonts w:asciiTheme="minorHAnsi" w:hAnsiTheme="minorHAnsi" w:cs="Arial"/>
        </w:rPr>
        <w:t>Voltage management services on the NT transmission power systems are provided by switching of reactive network devices, tapping of transformers and generators. The Generator Performance Standards</w:t>
      </w:r>
      <w:r w:rsidR="00E7539D" w:rsidRPr="00A11265">
        <w:rPr>
          <w:rFonts w:asciiTheme="minorHAnsi" w:hAnsiTheme="minorHAnsi" w:cs="Arial"/>
        </w:rPr>
        <w:t xml:space="preserve"> (GPS)</w:t>
      </w:r>
      <w:r w:rsidRPr="00A11265">
        <w:rPr>
          <w:rFonts w:asciiTheme="minorHAnsi" w:hAnsiTheme="minorHAnsi" w:cs="Arial"/>
        </w:rPr>
        <w:t xml:space="preserve"> currently enacted in the NTC, require all generators to provide reactive power capability and control systems that ensure reactive power is provided as and when required to control voltage on the network</w:t>
      </w:r>
      <w:r w:rsidR="000B13B7" w:rsidRPr="00A11265">
        <w:rPr>
          <w:rFonts w:asciiTheme="minorHAnsi" w:hAnsiTheme="minorHAnsi" w:cs="Arial"/>
        </w:rPr>
        <w:t xml:space="preserve"> (refer to</w:t>
      </w:r>
      <w:r w:rsidR="00682F49">
        <w:rPr>
          <w:rFonts w:asciiTheme="minorHAnsi" w:hAnsiTheme="minorHAnsi" w:cs="Arial"/>
        </w:rPr>
        <w:t xml:space="preserve"> section</w:t>
      </w:r>
      <w:r w:rsidR="000B13B7" w:rsidRPr="00A11265">
        <w:rPr>
          <w:rFonts w:asciiTheme="minorHAnsi" w:hAnsiTheme="minorHAnsi" w:cs="Arial"/>
        </w:rPr>
        <w:t xml:space="preserve"> 2.1.2)</w:t>
      </w:r>
      <w:r w:rsidRPr="00A11265">
        <w:rPr>
          <w:rFonts w:asciiTheme="minorHAnsi" w:hAnsiTheme="minorHAnsi" w:cs="Arial"/>
        </w:rPr>
        <w:t>.</w:t>
      </w:r>
      <w:r w:rsidRPr="00A11265">
        <w:rPr>
          <w:rStyle w:val="FootnoteReference"/>
          <w:rFonts w:asciiTheme="minorHAnsi" w:hAnsiTheme="minorHAnsi" w:cs="Arial"/>
        </w:rPr>
        <w:footnoteReference w:id="5"/>
      </w:r>
      <w:r w:rsidRPr="00A11265">
        <w:rPr>
          <w:rFonts w:asciiTheme="minorHAnsi" w:hAnsiTheme="minorHAnsi" w:cs="Arial"/>
        </w:rPr>
        <w:t xml:space="preserve"> Operational practice is for existing synchronous generators to be instructed to manage network constraints by being constrained on or off to provide localised active and reactive power support, particularly after contingencies where network capacity may be limited.</w:t>
      </w:r>
    </w:p>
    <w:p w14:paraId="447714F6" w14:textId="183B0310" w:rsidR="0008616D" w:rsidRPr="00A11265" w:rsidRDefault="00621A4F" w:rsidP="00EE7D01">
      <w:pPr>
        <w:keepNext/>
        <w:spacing w:after="0"/>
        <w:rPr>
          <w:rFonts w:asciiTheme="minorHAnsi" w:hAnsiTheme="minorHAnsi" w:cs="Arial"/>
          <w:b/>
        </w:rPr>
      </w:pPr>
      <w:r w:rsidRPr="00A11265">
        <w:rPr>
          <w:rFonts w:asciiTheme="minorHAnsi" w:hAnsiTheme="minorHAnsi" w:cs="Arial"/>
          <w:b/>
        </w:rPr>
        <w:lastRenderedPageBreak/>
        <w:t xml:space="preserve">Table </w:t>
      </w:r>
      <w:r w:rsidR="0059694D" w:rsidRPr="00A11265">
        <w:rPr>
          <w:rFonts w:asciiTheme="minorHAnsi" w:hAnsiTheme="minorHAnsi" w:cs="Arial"/>
          <w:b/>
        </w:rPr>
        <w:t>2</w:t>
      </w:r>
      <w:r w:rsidR="00D966DE" w:rsidRPr="00A11265">
        <w:rPr>
          <w:rFonts w:asciiTheme="minorHAnsi" w:hAnsiTheme="minorHAnsi" w:cs="Arial"/>
          <w:b/>
        </w:rPr>
        <w:t>-</w:t>
      </w:r>
      <w:r w:rsidRPr="00A11265">
        <w:rPr>
          <w:rFonts w:asciiTheme="minorHAnsi" w:hAnsiTheme="minorHAnsi" w:cs="Arial"/>
          <w:b/>
        </w:rPr>
        <w:t>2</w:t>
      </w:r>
      <w:r w:rsidR="008B3CD1" w:rsidRPr="00A11265">
        <w:rPr>
          <w:rFonts w:asciiTheme="minorHAnsi" w:hAnsiTheme="minorHAnsi" w:cs="Arial"/>
          <w:b/>
        </w:rPr>
        <w:tab/>
      </w:r>
      <w:r w:rsidRPr="00A11265">
        <w:rPr>
          <w:rFonts w:asciiTheme="minorHAnsi" w:hAnsiTheme="minorHAnsi" w:cs="Arial"/>
          <w:b/>
        </w:rPr>
        <w:t xml:space="preserve">Current </w:t>
      </w:r>
      <w:r w:rsidR="003B0886" w:rsidRPr="00A11265">
        <w:rPr>
          <w:rFonts w:asciiTheme="minorHAnsi" w:hAnsiTheme="minorHAnsi" w:cs="Arial"/>
          <w:b/>
        </w:rPr>
        <w:t>essential system services</w:t>
      </w:r>
      <w:r w:rsidRPr="00A11265">
        <w:rPr>
          <w:rFonts w:asciiTheme="minorHAnsi" w:hAnsiTheme="minorHAnsi" w:cs="Arial"/>
          <w:b/>
        </w:rPr>
        <w:t xml:space="preserve"> provisions and operational use </w:t>
      </w:r>
      <w:r w:rsidR="0099483B" w:rsidRPr="00A11265">
        <w:rPr>
          <w:rFonts w:asciiTheme="minorHAnsi" w:hAnsiTheme="minorHAnsi" w:cs="Arial"/>
          <w:b/>
        </w:rPr>
        <w:t>—</w:t>
      </w:r>
      <w:r w:rsidRPr="00A11265">
        <w:rPr>
          <w:rFonts w:asciiTheme="minorHAnsi" w:hAnsiTheme="minorHAnsi" w:cs="Arial"/>
          <w:b/>
        </w:rPr>
        <w:t xml:space="preserve"> </w:t>
      </w:r>
      <w:r w:rsidR="00D966DE" w:rsidRPr="00A11265">
        <w:rPr>
          <w:rFonts w:asciiTheme="minorHAnsi" w:hAnsiTheme="minorHAnsi" w:cs="Arial"/>
          <w:b/>
        </w:rPr>
        <w:t>NT r</w:t>
      </w:r>
      <w:r w:rsidRPr="00A11265">
        <w:rPr>
          <w:rFonts w:asciiTheme="minorHAnsi" w:hAnsiTheme="minorHAnsi" w:cs="Arial"/>
          <w:b/>
        </w:rPr>
        <w:t>egulated systems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5578"/>
        <w:gridCol w:w="2072"/>
      </w:tblGrid>
      <w:tr w:rsidR="008F575E" w:rsidRPr="00A11265" w14:paraId="2029C866" w14:textId="77777777" w:rsidTr="00D24B1D">
        <w:trPr>
          <w:tblHeader/>
        </w:trPr>
        <w:tc>
          <w:tcPr>
            <w:tcW w:w="0" w:type="auto"/>
            <w:tcBorders>
              <w:top w:val="single" w:sz="4" w:space="0" w:color="auto"/>
              <w:bottom w:val="single" w:sz="4" w:space="0" w:color="auto"/>
            </w:tcBorders>
          </w:tcPr>
          <w:p w14:paraId="06FD0C0F" w14:textId="29E61B39" w:rsidR="0008616D" w:rsidRPr="00A11265" w:rsidRDefault="0008616D" w:rsidP="00EE7D01">
            <w:pPr>
              <w:keepNext/>
              <w:rPr>
                <w:rFonts w:asciiTheme="minorHAnsi" w:hAnsiTheme="minorHAnsi" w:cs="Arial"/>
                <w:b/>
              </w:rPr>
            </w:pPr>
            <w:r w:rsidRPr="00A11265">
              <w:rPr>
                <w:rFonts w:asciiTheme="minorHAnsi" w:hAnsiTheme="minorHAnsi"/>
                <w:b/>
              </w:rPr>
              <w:t>Service</w:t>
            </w:r>
          </w:p>
        </w:tc>
        <w:tc>
          <w:tcPr>
            <w:tcW w:w="0" w:type="auto"/>
            <w:tcBorders>
              <w:top w:val="single" w:sz="4" w:space="0" w:color="auto"/>
              <w:bottom w:val="single" w:sz="4" w:space="0" w:color="auto"/>
            </w:tcBorders>
          </w:tcPr>
          <w:p w14:paraId="34C45838" w14:textId="4B29DD95" w:rsidR="0008616D" w:rsidRPr="00A11265" w:rsidRDefault="0008616D" w:rsidP="00EE7D01">
            <w:pPr>
              <w:keepNext/>
              <w:rPr>
                <w:rFonts w:asciiTheme="minorHAnsi" w:hAnsiTheme="minorHAnsi" w:cs="Arial"/>
                <w:b/>
              </w:rPr>
            </w:pPr>
            <w:r w:rsidRPr="00A11265">
              <w:rPr>
                <w:rFonts w:asciiTheme="minorHAnsi" w:hAnsiTheme="minorHAnsi"/>
                <w:b/>
              </w:rPr>
              <w:t>Codified requirements</w:t>
            </w:r>
            <w:r w:rsidRPr="00A11265">
              <w:rPr>
                <w:rStyle w:val="FootnoteReference"/>
                <w:rFonts w:asciiTheme="minorHAnsi" w:hAnsiTheme="minorHAnsi"/>
                <w:b/>
              </w:rPr>
              <w:footnoteReference w:id="6"/>
            </w:r>
            <w:r w:rsidRPr="00A11265">
              <w:rPr>
                <w:rFonts w:asciiTheme="minorHAnsi" w:hAnsiTheme="minorHAnsi"/>
                <w:b/>
              </w:rPr>
              <w:t xml:space="preserve"> </w:t>
            </w:r>
          </w:p>
        </w:tc>
        <w:tc>
          <w:tcPr>
            <w:tcW w:w="0" w:type="auto"/>
            <w:tcBorders>
              <w:top w:val="single" w:sz="4" w:space="0" w:color="auto"/>
              <w:bottom w:val="single" w:sz="4" w:space="0" w:color="auto"/>
            </w:tcBorders>
          </w:tcPr>
          <w:p w14:paraId="6B791BBB" w14:textId="7CE5CE53" w:rsidR="0008616D" w:rsidRPr="00A11265" w:rsidRDefault="0008616D" w:rsidP="00EE7D01">
            <w:pPr>
              <w:keepNext/>
              <w:rPr>
                <w:rFonts w:asciiTheme="minorHAnsi" w:hAnsiTheme="minorHAnsi" w:cs="Arial"/>
                <w:b/>
              </w:rPr>
            </w:pPr>
            <w:r w:rsidRPr="00A11265">
              <w:rPr>
                <w:rFonts w:asciiTheme="minorHAnsi" w:hAnsiTheme="minorHAnsi"/>
                <w:b/>
              </w:rPr>
              <w:t>Operational use of service</w:t>
            </w:r>
          </w:p>
        </w:tc>
      </w:tr>
      <w:tr w:rsidR="008F575E" w:rsidRPr="00A11265" w14:paraId="5199B0D2" w14:textId="77777777" w:rsidTr="0008616D">
        <w:tc>
          <w:tcPr>
            <w:tcW w:w="0" w:type="auto"/>
            <w:tcBorders>
              <w:top w:val="single" w:sz="4" w:space="0" w:color="auto"/>
              <w:bottom w:val="single" w:sz="4" w:space="0" w:color="auto"/>
            </w:tcBorders>
          </w:tcPr>
          <w:p w14:paraId="7DF9C772" w14:textId="05E928C7" w:rsidR="0008616D" w:rsidRPr="00A11265" w:rsidRDefault="00682F49">
            <w:pPr>
              <w:keepNext/>
              <w:rPr>
                <w:rFonts w:asciiTheme="minorHAnsi" w:hAnsiTheme="minorHAnsi" w:cs="Arial"/>
              </w:rPr>
            </w:pPr>
            <w:r>
              <w:rPr>
                <w:rFonts w:asciiTheme="minorHAnsi" w:hAnsiTheme="minorHAnsi"/>
              </w:rPr>
              <w:t>Regulating Frequency Control Ancillary Service (</w:t>
            </w:r>
            <w:r w:rsidR="0008616D" w:rsidRPr="00A11265">
              <w:rPr>
                <w:rFonts w:asciiTheme="minorHAnsi" w:hAnsiTheme="minorHAnsi"/>
              </w:rPr>
              <w:t>R</w:t>
            </w:r>
            <w:r>
              <w:rPr>
                <w:rFonts w:asciiTheme="minorHAnsi" w:hAnsiTheme="minorHAnsi"/>
              </w:rPr>
              <w:noBreakHyphen/>
            </w:r>
            <w:r w:rsidR="0008616D" w:rsidRPr="00A11265">
              <w:rPr>
                <w:rFonts w:asciiTheme="minorHAnsi" w:hAnsiTheme="minorHAnsi"/>
              </w:rPr>
              <w:t>FCAS</w:t>
            </w:r>
            <w:r>
              <w:rPr>
                <w:rFonts w:asciiTheme="minorHAnsi" w:hAnsiTheme="minorHAnsi"/>
              </w:rPr>
              <w:t>)</w:t>
            </w:r>
          </w:p>
        </w:tc>
        <w:tc>
          <w:tcPr>
            <w:tcW w:w="0" w:type="auto"/>
            <w:tcBorders>
              <w:top w:val="single" w:sz="4" w:space="0" w:color="auto"/>
              <w:bottom w:val="single" w:sz="4" w:space="0" w:color="auto"/>
            </w:tcBorders>
          </w:tcPr>
          <w:p w14:paraId="1DCB67C9" w14:textId="77777777" w:rsidR="0008616D" w:rsidRPr="00D24B1D" w:rsidRDefault="0008616D" w:rsidP="00EE7D01">
            <w:pPr>
              <w:pStyle w:val="Body"/>
              <w:keepNext/>
              <w:spacing w:after="60" w:line="240" w:lineRule="auto"/>
              <w:rPr>
                <w:rFonts w:asciiTheme="minorHAnsi" w:hAnsiTheme="minorHAnsi"/>
                <w:b/>
                <w:sz w:val="22"/>
                <w:szCs w:val="22"/>
              </w:rPr>
            </w:pPr>
            <w:r w:rsidRPr="00D24B1D">
              <w:rPr>
                <w:rFonts w:asciiTheme="minorHAnsi" w:hAnsiTheme="minorHAnsi"/>
                <w:b/>
                <w:sz w:val="22"/>
                <w:szCs w:val="22"/>
              </w:rPr>
              <w:t>Darwin-Katherine</w:t>
            </w:r>
          </w:p>
          <w:p w14:paraId="1F593E9F" w14:textId="77777777" w:rsidR="0008616D" w:rsidRPr="00A11265" w:rsidRDefault="0008616D" w:rsidP="00EE7D01">
            <w:pPr>
              <w:pStyle w:val="Body"/>
              <w:keepNext/>
              <w:spacing w:after="60" w:line="240" w:lineRule="auto"/>
              <w:rPr>
                <w:rFonts w:asciiTheme="minorHAnsi" w:hAnsiTheme="minorHAnsi"/>
                <w:sz w:val="22"/>
                <w:szCs w:val="22"/>
              </w:rPr>
            </w:pPr>
            <w:r w:rsidRPr="00A11265">
              <w:rPr>
                <w:rFonts w:asciiTheme="minorHAnsi" w:hAnsiTheme="minorHAnsi"/>
                <w:sz w:val="22"/>
                <w:szCs w:val="22"/>
              </w:rPr>
              <w:t>The greater of 5 MW or anticipated change in system load over 30 minutes.</w:t>
            </w:r>
          </w:p>
          <w:p w14:paraId="3DC420DE" w14:textId="77777777" w:rsidR="0008616D" w:rsidRPr="00D24B1D" w:rsidRDefault="0008616D" w:rsidP="00EE7D01">
            <w:pPr>
              <w:pStyle w:val="Body"/>
              <w:keepNext/>
              <w:spacing w:after="60" w:line="240" w:lineRule="auto"/>
              <w:rPr>
                <w:rFonts w:asciiTheme="minorHAnsi" w:hAnsiTheme="minorHAnsi"/>
                <w:b/>
                <w:sz w:val="22"/>
                <w:szCs w:val="22"/>
              </w:rPr>
            </w:pPr>
            <w:r w:rsidRPr="00D24B1D">
              <w:rPr>
                <w:rFonts w:asciiTheme="minorHAnsi" w:hAnsiTheme="minorHAnsi"/>
                <w:b/>
                <w:sz w:val="22"/>
                <w:szCs w:val="22"/>
              </w:rPr>
              <w:t>Alice Springs</w:t>
            </w:r>
          </w:p>
          <w:p w14:paraId="282DCCF3" w14:textId="77777777" w:rsidR="0008616D" w:rsidRPr="00A11265" w:rsidRDefault="0008616D" w:rsidP="00EE7D01">
            <w:pPr>
              <w:pStyle w:val="Body"/>
              <w:keepNext/>
              <w:spacing w:after="60" w:line="240" w:lineRule="auto"/>
              <w:rPr>
                <w:rFonts w:asciiTheme="minorHAnsi" w:hAnsiTheme="minorHAnsi"/>
                <w:sz w:val="22"/>
                <w:szCs w:val="22"/>
              </w:rPr>
            </w:pPr>
            <w:r w:rsidRPr="00A11265">
              <w:rPr>
                <w:rFonts w:asciiTheme="minorHAnsi" w:hAnsiTheme="minorHAnsi"/>
                <w:sz w:val="22"/>
                <w:szCs w:val="22"/>
              </w:rPr>
              <w:t>The greater of 2 MW or anticipated change in system load over 10 minutes.</w:t>
            </w:r>
          </w:p>
          <w:p w14:paraId="001C5A20" w14:textId="77777777" w:rsidR="0008616D" w:rsidRPr="00D24B1D" w:rsidRDefault="0008616D" w:rsidP="00EE7D01">
            <w:pPr>
              <w:pStyle w:val="Body"/>
              <w:keepNext/>
              <w:spacing w:after="60" w:line="240" w:lineRule="auto"/>
              <w:rPr>
                <w:rFonts w:asciiTheme="minorHAnsi" w:hAnsiTheme="minorHAnsi"/>
                <w:b/>
                <w:sz w:val="22"/>
                <w:szCs w:val="22"/>
              </w:rPr>
            </w:pPr>
            <w:r w:rsidRPr="00D24B1D">
              <w:rPr>
                <w:rFonts w:asciiTheme="minorHAnsi" w:hAnsiTheme="minorHAnsi"/>
                <w:b/>
                <w:sz w:val="22"/>
                <w:szCs w:val="22"/>
              </w:rPr>
              <w:t>Tennant Creek</w:t>
            </w:r>
          </w:p>
          <w:p w14:paraId="72654ACF" w14:textId="5ABA3AEA" w:rsidR="0008616D" w:rsidRPr="00A11265" w:rsidRDefault="0008616D" w:rsidP="00EE7D01">
            <w:pPr>
              <w:keepNext/>
              <w:rPr>
                <w:rFonts w:asciiTheme="minorHAnsi" w:hAnsiTheme="minorHAnsi" w:cs="Arial"/>
              </w:rPr>
            </w:pPr>
            <w:r w:rsidRPr="00A11265">
              <w:rPr>
                <w:rFonts w:asciiTheme="minorHAnsi" w:hAnsiTheme="minorHAnsi"/>
              </w:rPr>
              <w:t>The greater of 0.5 MW or anticipated change in system load over 10 minutes.</w:t>
            </w:r>
          </w:p>
        </w:tc>
        <w:tc>
          <w:tcPr>
            <w:tcW w:w="0" w:type="auto"/>
            <w:tcBorders>
              <w:top w:val="single" w:sz="4" w:space="0" w:color="auto"/>
              <w:bottom w:val="single" w:sz="4" w:space="0" w:color="auto"/>
            </w:tcBorders>
          </w:tcPr>
          <w:p w14:paraId="32F3E4B5" w14:textId="013E90CB" w:rsidR="0008616D" w:rsidRPr="00A11265" w:rsidRDefault="0008616D" w:rsidP="00EE7D01">
            <w:pPr>
              <w:keepNext/>
              <w:spacing w:before="60" w:after="60"/>
            </w:pPr>
            <w:r w:rsidRPr="00A11265">
              <w:t>In use</w:t>
            </w:r>
          </w:p>
        </w:tc>
      </w:tr>
      <w:tr w:rsidR="008F575E" w:rsidRPr="00A11265" w14:paraId="6E5A4218" w14:textId="77777777" w:rsidTr="0008616D">
        <w:tc>
          <w:tcPr>
            <w:tcW w:w="0" w:type="auto"/>
            <w:tcBorders>
              <w:top w:val="single" w:sz="4" w:space="0" w:color="auto"/>
              <w:bottom w:val="single" w:sz="4" w:space="0" w:color="auto"/>
            </w:tcBorders>
          </w:tcPr>
          <w:p w14:paraId="1021438E" w14:textId="02661218" w:rsidR="0008616D" w:rsidRPr="00A11265" w:rsidRDefault="00831078" w:rsidP="00EE7D01">
            <w:pPr>
              <w:keepNext/>
              <w:rPr>
                <w:rFonts w:asciiTheme="minorHAnsi" w:hAnsiTheme="minorHAnsi" w:cs="Arial"/>
              </w:rPr>
            </w:pPr>
            <w:r w:rsidRPr="00A11265">
              <w:rPr>
                <w:rFonts w:asciiTheme="minorHAnsi" w:hAnsiTheme="minorHAnsi"/>
              </w:rPr>
              <w:t xml:space="preserve">Contingency Frequency Control </w:t>
            </w:r>
            <w:r w:rsidR="003B0886" w:rsidRPr="00A11265">
              <w:rPr>
                <w:rFonts w:asciiTheme="minorHAnsi" w:hAnsiTheme="minorHAnsi"/>
              </w:rPr>
              <w:t>Ancillary</w:t>
            </w:r>
            <w:r w:rsidRPr="00A11265">
              <w:rPr>
                <w:rFonts w:asciiTheme="minorHAnsi" w:hAnsiTheme="minorHAnsi"/>
              </w:rPr>
              <w:t xml:space="preserve"> Service (</w:t>
            </w:r>
            <w:r w:rsidR="0008616D" w:rsidRPr="00A11265">
              <w:rPr>
                <w:rFonts w:asciiTheme="minorHAnsi" w:hAnsiTheme="minorHAnsi"/>
              </w:rPr>
              <w:t>C</w:t>
            </w:r>
            <w:r w:rsidR="003B0886" w:rsidRPr="00A11265">
              <w:rPr>
                <w:rFonts w:asciiTheme="minorHAnsi" w:hAnsiTheme="minorHAnsi"/>
              </w:rPr>
              <w:noBreakHyphen/>
            </w:r>
            <w:r w:rsidR="0008616D" w:rsidRPr="00A11265">
              <w:rPr>
                <w:rFonts w:asciiTheme="minorHAnsi" w:hAnsiTheme="minorHAnsi"/>
              </w:rPr>
              <w:t>FCAS</w:t>
            </w:r>
            <w:r w:rsidRPr="00A11265">
              <w:rPr>
                <w:rFonts w:asciiTheme="minorHAnsi" w:hAnsiTheme="minorHAnsi"/>
              </w:rPr>
              <w:t>)</w:t>
            </w:r>
          </w:p>
        </w:tc>
        <w:tc>
          <w:tcPr>
            <w:tcW w:w="0" w:type="auto"/>
            <w:tcBorders>
              <w:top w:val="single" w:sz="4" w:space="0" w:color="auto"/>
              <w:bottom w:val="single" w:sz="4" w:space="0" w:color="auto"/>
            </w:tcBorders>
          </w:tcPr>
          <w:p w14:paraId="1AB38A5B" w14:textId="2354A891" w:rsidR="0008616D" w:rsidRPr="00A11265" w:rsidRDefault="003B0886" w:rsidP="00EE7D01">
            <w:pPr>
              <w:pStyle w:val="Body"/>
              <w:keepNext/>
              <w:spacing w:after="60" w:line="240" w:lineRule="auto"/>
              <w:rPr>
                <w:rFonts w:asciiTheme="minorHAnsi" w:hAnsiTheme="minorHAnsi"/>
                <w:sz w:val="22"/>
                <w:szCs w:val="22"/>
              </w:rPr>
            </w:pPr>
            <w:r w:rsidRPr="00A11265">
              <w:rPr>
                <w:rFonts w:asciiTheme="minorHAnsi" w:hAnsiTheme="minorHAnsi"/>
                <w:sz w:val="22"/>
                <w:szCs w:val="22"/>
              </w:rPr>
              <w:t xml:space="preserve">The </w:t>
            </w:r>
            <w:r w:rsidR="0008616D" w:rsidRPr="00A11265">
              <w:rPr>
                <w:rFonts w:asciiTheme="minorHAnsi" w:hAnsiTheme="minorHAnsi"/>
                <w:sz w:val="22"/>
                <w:szCs w:val="22"/>
              </w:rPr>
              <w:t>SSG provides guidance as to how each C</w:t>
            </w:r>
            <w:r w:rsidRPr="00A11265">
              <w:rPr>
                <w:rFonts w:asciiTheme="minorHAnsi" w:hAnsiTheme="minorHAnsi"/>
                <w:sz w:val="22"/>
                <w:szCs w:val="22"/>
              </w:rPr>
              <w:noBreakHyphen/>
            </w:r>
            <w:r w:rsidR="0008616D" w:rsidRPr="00A11265">
              <w:rPr>
                <w:rFonts w:asciiTheme="minorHAnsi" w:hAnsiTheme="minorHAnsi"/>
                <w:sz w:val="22"/>
                <w:szCs w:val="22"/>
              </w:rPr>
              <w:t>FCAS service provider’s contribution to the overall C</w:t>
            </w:r>
            <w:r w:rsidRPr="00A11265">
              <w:rPr>
                <w:rFonts w:asciiTheme="minorHAnsi" w:hAnsiTheme="minorHAnsi"/>
                <w:sz w:val="22"/>
                <w:szCs w:val="22"/>
              </w:rPr>
              <w:noBreakHyphen/>
            </w:r>
            <w:r w:rsidR="0008616D" w:rsidRPr="00A11265">
              <w:rPr>
                <w:rFonts w:asciiTheme="minorHAnsi" w:hAnsiTheme="minorHAnsi"/>
                <w:sz w:val="22"/>
                <w:szCs w:val="22"/>
              </w:rPr>
              <w:t>FCAS requirement can be assessed by the</w:t>
            </w:r>
            <w:r w:rsidRPr="00A11265">
              <w:rPr>
                <w:rFonts w:asciiTheme="minorHAnsi" w:hAnsiTheme="minorHAnsi"/>
                <w:sz w:val="22"/>
                <w:szCs w:val="22"/>
              </w:rPr>
              <w:t xml:space="preserve"> </w:t>
            </w:r>
            <w:r w:rsidR="0008616D" w:rsidRPr="00A11265">
              <w:rPr>
                <w:rFonts w:asciiTheme="minorHAnsi" w:hAnsiTheme="minorHAnsi"/>
                <w:sz w:val="22"/>
                <w:szCs w:val="22"/>
              </w:rPr>
              <w:t xml:space="preserve">System Controller. </w:t>
            </w:r>
          </w:p>
          <w:p w14:paraId="74CF72D6" w14:textId="2B8D63A1" w:rsidR="0008616D" w:rsidRPr="00A11265" w:rsidRDefault="0008616D" w:rsidP="00EE7D01">
            <w:pPr>
              <w:pStyle w:val="Body"/>
              <w:keepNext/>
              <w:spacing w:after="60" w:line="240" w:lineRule="auto"/>
              <w:rPr>
                <w:rFonts w:asciiTheme="minorHAnsi" w:hAnsiTheme="minorHAnsi"/>
                <w:sz w:val="22"/>
                <w:szCs w:val="22"/>
              </w:rPr>
            </w:pPr>
            <w:r w:rsidRPr="00A11265">
              <w:rPr>
                <w:rFonts w:asciiTheme="minorHAnsi" w:hAnsiTheme="minorHAnsi"/>
                <w:sz w:val="22"/>
                <w:szCs w:val="22"/>
              </w:rPr>
              <w:t>The SSG provides that the C</w:t>
            </w:r>
            <w:r w:rsidR="003B0886" w:rsidRPr="00A11265">
              <w:rPr>
                <w:rFonts w:asciiTheme="minorHAnsi" w:hAnsiTheme="minorHAnsi"/>
                <w:sz w:val="22"/>
                <w:szCs w:val="22"/>
              </w:rPr>
              <w:noBreakHyphen/>
            </w:r>
            <w:r w:rsidRPr="00A11265">
              <w:rPr>
                <w:rFonts w:asciiTheme="minorHAnsi" w:hAnsiTheme="minorHAnsi"/>
                <w:sz w:val="22"/>
                <w:szCs w:val="22"/>
              </w:rPr>
              <w:t>FCAS requirements are to be assessed by and approved at the discretion of the System Controller.</w:t>
            </w:r>
          </w:p>
          <w:p w14:paraId="67295B33" w14:textId="55757B45" w:rsidR="0008616D" w:rsidRPr="00A11265" w:rsidRDefault="0008616D" w:rsidP="00EE7D01">
            <w:pPr>
              <w:keepNext/>
              <w:rPr>
                <w:rFonts w:asciiTheme="minorHAnsi" w:hAnsiTheme="minorHAnsi" w:cs="Arial"/>
              </w:rPr>
            </w:pPr>
            <w:r w:rsidRPr="00A11265">
              <w:rPr>
                <w:rFonts w:asciiTheme="minorHAnsi" w:hAnsiTheme="minorHAnsi"/>
              </w:rPr>
              <w:t>The System Controller is yet to procure this service and yet to specify to the market the overall requirement for the system.</w:t>
            </w:r>
          </w:p>
        </w:tc>
        <w:tc>
          <w:tcPr>
            <w:tcW w:w="0" w:type="auto"/>
            <w:tcBorders>
              <w:top w:val="single" w:sz="4" w:space="0" w:color="auto"/>
              <w:bottom w:val="single" w:sz="4" w:space="0" w:color="auto"/>
            </w:tcBorders>
          </w:tcPr>
          <w:p w14:paraId="389CB1B5" w14:textId="7969FF28" w:rsidR="0008616D" w:rsidRPr="00A11265" w:rsidRDefault="0008616D" w:rsidP="00EE7D01">
            <w:pPr>
              <w:keepNext/>
              <w:spacing w:before="60" w:after="60"/>
            </w:pPr>
            <w:r w:rsidRPr="00A11265">
              <w:t>Implementation date not set</w:t>
            </w:r>
          </w:p>
        </w:tc>
      </w:tr>
      <w:tr w:rsidR="008F575E" w:rsidRPr="00A11265" w14:paraId="38497295" w14:textId="77777777" w:rsidTr="0008616D">
        <w:tc>
          <w:tcPr>
            <w:tcW w:w="0" w:type="auto"/>
            <w:tcBorders>
              <w:top w:val="single" w:sz="4" w:space="0" w:color="auto"/>
              <w:bottom w:val="single" w:sz="4" w:space="0" w:color="auto"/>
            </w:tcBorders>
          </w:tcPr>
          <w:p w14:paraId="17A68EA7" w14:textId="5815992B" w:rsidR="0008616D" w:rsidRPr="00A11265" w:rsidRDefault="00FF2955" w:rsidP="00EE7D01">
            <w:pPr>
              <w:keepNext/>
              <w:rPr>
                <w:rFonts w:asciiTheme="minorHAnsi" w:hAnsiTheme="minorHAnsi" w:cs="Arial"/>
              </w:rPr>
            </w:pPr>
            <w:r>
              <w:rPr>
                <w:rFonts w:asciiTheme="minorHAnsi" w:hAnsiTheme="minorHAnsi"/>
              </w:rPr>
              <w:t>Inertia Frequency Control Ancillary Service (</w:t>
            </w:r>
            <w:r w:rsidR="0008616D" w:rsidRPr="00A11265">
              <w:rPr>
                <w:rFonts w:asciiTheme="minorHAnsi" w:hAnsiTheme="minorHAnsi"/>
              </w:rPr>
              <w:t>I-FCAS</w:t>
            </w:r>
            <w:r>
              <w:rPr>
                <w:rFonts w:asciiTheme="minorHAnsi" w:hAnsiTheme="minorHAnsi"/>
              </w:rPr>
              <w:t>)</w:t>
            </w:r>
          </w:p>
        </w:tc>
        <w:tc>
          <w:tcPr>
            <w:tcW w:w="0" w:type="auto"/>
            <w:tcBorders>
              <w:top w:val="single" w:sz="4" w:space="0" w:color="auto"/>
              <w:bottom w:val="single" w:sz="4" w:space="0" w:color="auto"/>
            </w:tcBorders>
          </w:tcPr>
          <w:p w14:paraId="7EAE8E9B" w14:textId="77777777" w:rsidR="0008616D" w:rsidRPr="00A11265" w:rsidRDefault="0008616D" w:rsidP="00EE7D01">
            <w:pPr>
              <w:pStyle w:val="Body"/>
              <w:keepNext/>
              <w:spacing w:after="60" w:line="240" w:lineRule="auto"/>
              <w:rPr>
                <w:rFonts w:asciiTheme="minorHAnsi" w:hAnsiTheme="minorHAnsi"/>
                <w:sz w:val="22"/>
                <w:szCs w:val="22"/>
              </w:rPr>
            </w:pPr>
            <w:r w:rsidRPr="00A11265">
              <w:rPr>
                <w:rFonts w:asciiTheme="minorHAnsi" w:hAnsiTheme="minorHAnsi"/>
                <w:sz w:val="22"/>
                <w:szCs w:val="22"/>
              </w:rPr>
              <w:t>Principles for determining a minimum requirement is set out in the SSG.</w:t>
            </w:r>
          </w:p>
          <w:p w14:paraId="09A1B949" w14:textId="6539D223" w:rsidR="0008616D" w:rsidRPr="00A11265" w:rsidRDefault="003B0886" w:rsidP="00EE7D01">
            <w:pPr>
              <w:pStyle w:val="Body"/>
              <w:keepNext/>
              <w:spacing w:after="60" w:line="240" w:lineRule="auto"/>
              <w:rPr>
                <w:rFonts w:asciiTheme="minorHAnsi" w:hAnsiTheme="minorHAnsi"/>
                <w:sz w:val="22"/>
                <w:szCs w:val="22"/>
              </w:rPr>
            </w:pPr>
            <w:r w:rsidRPr="00A11265">
              <w:rPr>
                <w:rFonts w:asciiTheme="minorHAnsi" w:hAnsiTheme="minorHAnsi"/>
                <w:sz w:val="22"/>
                <w:szCs w:val="22"/>
              </w:rPr>
              <w:t xml:space="preserve">The </w:t>
            </w:r>
            <w:r w:rsidR="0008616D" w:rsidRPr="00A11265">
              <w:rPr>
                <w:rFonts w:asciiTheme="minorHAnsi" w:hAnsiTheme="minorHAnsi"/>
                <w:sz w:val="22"/>
                <w:szCs w:val="22"/>
              </w:rPr>
              <w:t>SSG also provides that all inertia contributions (whether synchronous or emulated) towards the I</w:t>
            </w:r>
            <w:r w:rsidRPr="00A11265">
              <w:rPr>
                <w:rFonts w:asciiTheme="minorHAnsi" w:hAnsiTheme="minorHAnsi"/>
                <w:sz w:val="22"/>
                <w:szCs w:val="22"/>
              </w:rPr>
              <w:noBreakHyphen/>
            </w:r>
            <w:r w:rsidR="0008616D" w:rsidRPr="00A11265">
              <w:rPr>
                <w:rFonts w:asciiTheme="minorHAnsi" w:hAnsiTheme="minorHAnsi"/>
                <w:sz w:val="22"/>
                <w:szCs w:val="22"/>
              </w:rPr>
              <w:t>FCAS are only accredited by the System Controller.</w:t>
            </w:r>
          </w:p>
          <w:p w14:paraId="6BBB60ED" w14:textId="1C4DEB6E" w:rsidR="0008616D" w:rsidRPr="00A11265" w:rsidRDefault="0008616D" w:rsidP="00EE7D01">
            <w:pPr>
              <w:keepNext/>
              <w:rPr>
                <w:rFonts w:asciiTheme="minorHAnsi" w:hAnsiTheme="minorHAnsi" w:cs="Arial"/>
              </w:rPr>
            </w:pPr>
            <w:r w:rsidRPr="00A11265">
              <w:rPr>
                <w:rFonts w:asciiTheme="minorHAnsi" w:hAnsiTheme="minorHAnsi"/>
              </w:rPr>
              <w:t>Minimum requirements and implementation date are yet to be determined.</w:t>
            </w:r>
          </w:p>
        </w:tc>
        <w:tc>
          <w:tcPr>
            <w:tcW w:w="0" w:type="auto"/>
            <w:tcBorders>
              <w:top w:val="single" w:sz="4" w:space="0" w:color="auto"/>
              <w:bottom w:val="single" w:sz="4" w:space="0" w:color="auto"/>
            </w:tcBorders>
          </w:tcPr>
          <w:p w14:paraId="0E825026" w14:textId="15C18331" w:rsidR="0008616D" w:rsidRPr="00A11265" w:rsidRDefault="0008616D" w:rsidP="00EE7D01">
            <w:pPr>
              <w:keepNext/>
              <w:spacing w:before="60" w:after="60"/>
            </w:pPr>
            <w:r w:rsidRPr="00A11265">
              <w:t>Implementation date not set</w:t>
            </w:r>
          </w:p>
        </w:tc>
      </w:tr>
      <w:tr w:rsidR="008F575E" w:rsidRPr="00A11265" w14:paraId="40E19D11" w14:textId="77777777" w:rsidTr="0008616D">
        <w:tc>
          <w:tcPr>
            <w:tcW w:w="0" w:type="auto"/>
            <w:tcBorders>
              <w:top w:val="single" w:sz="4" w:space="0" w:color="auto"/>
              <w:bottom w:val="single" w:sz="4" w:space="0" w:color="auto"/>
            </w:tcBorders>
          </w:tcPr>
          <w:p w14:paraId="74BDA17B" w14:textId="744DA07E" w:rsidR="0008616D" w:rsidRPr="00A11265" w:rsidRDefault="0008616D" w:rsidP="00EE7D01">
            <w:pPr>
              <w:keepNext/>
              <w:rPr>
                <w:rFonts w:asciiTheme="minorHAnsi" w:hAnsiTheme="minorHAnsi" w:cs="Arial"/>
              </w:rPr>
            </w:pPr>
            <w:r w:rsidRPr="00A11265">
              <w:rPr>
                <w:rFonts w:asciiTheme="minorHAnsi" w:hAnsiTheme="minorHAnsi"/>
              </w:rPr>
              <w:t>Spinning reserve</w:t>
            </w:r>
          </w:p>
        </w:tc>
        <w:tc>
          <w:tcPr>
            <w:tcW w:w="0" w:type="auto"/>
            <w:tcBorders>
              <w:top w:val="single" w:sz="4" w:space="0" w:color="auto"/>
              <w:bottom w:val="single" w:sz="4" w:space="0" w:color="auto"/>
            </w:tcBorders>
          </w:tcPr>
          <w:p w14:paraId="6112F131" w14:textId="77777777" w:rsidR="0008616D" w:rsidRPr="00D24B1D" w:rsidRDefault="0008616D" w:rsidP="00EE7D01">
            <w:pPr>
              <w:pStyle w:val="Body"/>
              <w:keepNext/>
              <w:spacing w:after="60" w:line="240" w:lineRule="auto"/>
              <w:rPr>
                <w:rFonts w:asciiTheme="minorHAnsi" w:hAnsiTheme="minorHAnsi"/>
                <w:b/>
                <w:sz w:val="22"/>
                <w:szCs w:val="22"/>
              </w:rPr>
            </w:pPr>
            <w:r w:rsidRPr="00D24B1D">
              <w:rPr>
                <w:rFonts w:asciiTheme="minorHAnsi" w:hAnsiTheme="minorHAnsi"/>
                <w:b/>
                <w:sz w:val="22"/>
                <w:szCs w:val="22"/>
              </w:rPr>
              <w:t>Darwin-Katherine</w:t>
            </w:r>
          </w:p>
          <w:p w14:paraId="2EBBC28A" w14:textId="77777777" w:rsidR="0008616D" w:rsidRPr="00A11265" w:rsidRDefault="0008616D" w:rsidP="00EE7D01">
            <w:pPr>
              <w:pStyle w:val="Body"/>
              <w:keepNext/>
              <w:spacing w:after="60" w:line="240" w:lineRule="auto"/>
              <w:rPr>
                <w:rFonts w:asciiTheme="minorHAnsi" w:hAnsiTheme="minorHAnsi"/>
                <w:sz w:val="22"/>
                <w:szCs w:val="22"/>
              </w:rPr>
            </w:pPr>
            <w:r w:rsidRPr="00A11265">
              <w:rPr>
                <w:rFonts w:asciiTheme="minorHAnsi" w:hAnsiTheme="minorHAnsi"/>
                <w:sz w:val="22"/>
                <w:szCs w:val="22"/>
              </w:rPr>
              <w:t>25 MW at all times, including a minimum of two Frame 6 machines that are:</w:t>
            </w:r>
          </w:p>
          <w:p w14:paraId="7422E486" w14:textId="77777777" w:rsidR="0008616D" w:rsidRPr="00A11265" w:rsidRDefault="0008616D" w:rsidP="00EE7D01">
            <w:pPr>
              <w:pStyle w:val="Body"/>
              <w:keepNext/>
              <w:numPr>
                <w:ilvl w:val="0"/>
                <w:numId w:val="15"/>
              </w:numPr>
              <w:spacing w:after="60" w:line="240" w:lineRule="auto"/>
              <w:ind w:left="342" w:hanging="342"/>
              <w:rPr>
                <w:rFonts w:asciiTheme="minorHAnsi" w:hAnsiTheme="minorHAnsi"/>
                <w:sz w:val="22"/>
                <w:szCs w:val="22"/>
              </w:rPr>
            </w:pPr>
            <w:r w:rsidRPr="00A11265">
              <w:rPr>
                <w:rFonts w:asciiTheme="minorHAnsi" w:hAnsiTheme="minorHAnsi"/>
                <w:sz w:val="22"/>
                <w:szCs w:val="22"/>
              </w:rPr>
              <w:t>on different nodes</w:t>
            </w:r>
          </w:p>
          <w:p w14:paraId="79A5D1F3" w14:textId="77777777" w:rsidR="0008616D" w:rsidRPr="00A11265" w:rsidRDefault="0008616D" w:rsidP="00EE7D01">
            <w:pPr>
              <w:pStyle w:val="Body"/>
              <w:keepNext/>
              <w:numPr>
                <w:ilvl w:val="0"/>
                <w:numId w:val="15"/>
              </w:numPr>
              <w:spacing w:after="60" w:line="240" w:lineRule="auto"/>
              <w:ind w:left="342" w:hanging="342"/>
              <w:rPr>
                <w:rFonts w:asciiTheme="minorHAnsi" w:hAnsiTheme="minorHAnsi"/>
                <w:sz w:val="22"/>
                <w:szCs w:val="22"/>
              </w:rPr>
            </w:pPr>
            <w:r w:rsidRPr="00A11265">
              <w:rPr>
                <w:rFonts w:asciiTheme="minorHAnsi" w:hAnsiTheme="minorHAnsi"/>
                <w:sz w:val="22"/>
                <w:szCs w:val="22"/>
              </w:rPr>
              <w:t>loaded to 26 MW or below</w:t>
            </w:r>
          </w:p>
          <w:p w14:paraId="69745F6B" w14:textId="437F807D" w:rsidR="0008616D" w:rsidRPr="00A11265" w:rsidRDefault="0008616D" w:rsidP="00EE7D01">
            <w:pPr>
              <w:pStyle w:val="Body"/>
              <w:keepNext/>
              <w:numPr>
                <w:ilvl w:val="0"/>
                <w:numId w:val="15"/>
              </w:numPr>
              <w:spacing w:after="60" w:line="240" w:lineRule="auto"/>
              <w:ind w:left="342" w:hanging="342"/>
              <w:rPr>
                <w:rFonts w:asciiTheme="minorHAnsi" w:hAnsiTheme="minorHAnsi"/>
                <w:sz w:val="22"/>
                <w:szCs w:val="22"/>
              </w:rPr>
            </w:pPr>
            <w:proofErr w:type="gramStart"/>
            <w:r w:rsidRPr="00A11265">
              <w:rPr>
                <w:rFonts w:asciiTheme="minorHAnsi" w:hAnsiTheme="minorHAnsi"/>
                <w:sz w:val="22"/>
                <w:szCs w:val="22"/>
              </w:rPr>
              <w:t>not</w:t>
            </w:r>
            <w:proofErr w:type="gramEnd"/>
            <w:r w:rsidRPr="00A11265">
              <w:rPr>
                <w:rFonts w:asciiTheme="minorHAnsi" w:hAnsiTheme="minorHAnsi"/>
                <w:sz w:val="22"/>
                <w:szCs w:val="22"/>
              </w:rPr>
              <w:t xml:space="preserve"> restricted in capacity or response</w:t>
            </w:r>
            <w:r w:rsidR="003B0886" w:rsidRPr="00A11265">
              <w:rPr>
                <w:rFonts w:asciiTheme="minorHAnsi" w:hAnsiTheme="minorHAnsi"/>
                <w:sz w:val="22"/>
                <w:szCs w:val="22"/>
              </w:rPr>
              <w:t>.</w:t>
            </w:r>
          </w:p>
          <w:p w14:paraId="307D8DB9" w14:textId="77777777" w:rsidR="0008616D" w:rsidRPr="00D24B1D" w:rsidRDefault="0008616D" w:rsidP="00EE7D01">
            <w:pPr>
              <w:pStyle w:val="Body"/>
              <w:keepNext/>
              <w:spacing w:after="60" w:line="240" w:lineRule="auto"/>
              <w:rPr>
                <w:rFonts w:asciiTheme="minorHAnsi" w:hAnsiTheme="minorHAnsi"/>
                <w:b/>
                <w:sz w:val="22"/>
                <w:szCs w:val="22"/>
              </w:rPr>
            </w:pPr>
            <w:r w:rsidRPr="00D24B1D">
              <w:rPr>
                <w:rFonts w:asciiTheme="minorHAnsi" w:hAnsiTheme="minorHAnsi"/>
                <w:b/>
                <w:sz w:val="22"/>
                <w:szCs w:val="22"/>
              </w:rPr>
              <w:t>Alice Springs</w:t>
            </w:r>
          </w:p>
          <w:p w14:paraId="5BB2C3BA" w14:textId="77777777" w:rsidR="0008616D" w:rsidRPr="00A11265" w:rsidRDefault="0008616D" w:rsidP="00EE7D01">
            <w:pPr>
              <w:pStyle w:val="Body"/>
              <w:keepNext/>
              <w:spacing w:after="60" w:line="240" w:lineRule="auto"/>
              <w:rPr>
                <w:rFonts w:asciiTheme="minorHAnsi" w:hAnsiTheme="minorHAnsi"/>
                <w:sz w:val="22"/>
                <w:szCs w:val="22"/>
              </w:rPr>
            </w:pPr>
            <w:r w:rsidRPr="00A11265">
              <w:rPr>
                <w:rFonts w:asciiTheme="minorHAnsi" w:hAnsiTheme="minorHAnsi"/>
                <w:sz w:val="22"/>
                <w:szCs w:val="22"/>
              </w:rPr>
              <w:t>The larger of either:</w:t>
            </w:r>
          </w:p>
          <w:p w14:paraId="740BA862" w14:textId="77777777" w:rsidR="0008616D" w:rsidRPr="00A11265" w:rsidRDefault="0008616D" w:rsidP="00EE7D01">
            <w:pPr>
              <w:pStyle w:val="Body"/>
              <w:keepNext/>
              <w:numPr>
                <w:ilvl w:val="0"/>
                <w:numId w:val="15"/>
              </w:numPr>
              <w:spacing w:after="60" w:line="240" w:lineRule="auto"/>
              <w:ind w:left="342" w:hanging="342"/>
              <w:rPr>
                <w:rFonts w:asciiTheme="minorHAnsi" w:hAnsiTheme="minorHAnsi"/>
                <w:sz w:val="22"/>
                <w:szCs w:val="22"/>
              </w:rPr>
            </w:pPr>
            <w:r w:rsidRPr="00A11265">
              <w:rPr>
                <w:rFonts w:asciiTheme="minorHAnsi" w:hAnsiTheme="minorHAnsi"/>
                <w:sz w:val="22"/>
                <w:szCs w:val="22"/>
              </w:rPr>
              <w:t>8 MW during the day</w:t>
            </w:r>
          </w:p>
          <w:p w14:paraId="7E47B46E" w14:textId="77777777" w:rsidR="0008616D" w:rsidRPr="00A11265" w:rsidRDefault="0008616D" w:rsidP="00EE7D01">
            <w:pPr>
              <w:pStyle w:val="Body"/>
              <w:keepNext/>
              <w:numPr>
                <w:ilvl w:val="0"/>
                <w:numId w:val="15"/>
              </w:numPr>
              <w:spacing w:after="60" w:line="240" w:lineRule="auto"/>
              <w:ind w:left="342" w:hanging="342"/>
              <w:rPr>
                <w:rFonts w:asciiTheme="minorHAnsi" w:hAnsiTheme="minorHAnsi"/>
                <w:sz w:val="22"/>
                <w:szCs w:val="22"/>
              </w:rPr>
            </w:pPr>
            <w:r w:rsidRPr="00A11265">
              <w:rPr>
                <w:rFonts w:asciiTheme="minorHAnsi" w:hAnsiTheme="minorHAnsi"/>
                <w:sz w:val="22"/>
                <w:szCs w:val="22"/>
              </w:rPr>
              <w:t xml:space="preserve">5 MW at night, or </w:t>
            </w:r>
          </w:p>
          <w:p w14:paraId="1FE1D17B" w14:textId="77777777" w:rsidR="0008616D" w:rsidRPr="00A11265" w:rsidRDefault="0008616D" w:rsidP="00EE7D01">
            <w:pPr>
              <w:pStyle w:val="Body"/>
              <w:keepNext/>
              <w:numPr>
                <w:ilvl w:val="0"/>
                <w:numId w:val="15"/>
              </w:numPr>
              <w:spacing w:after="60" w:line="240" w:lineRule="auto"/>
              <w:ind w:left="342" w:hanging="342"/>
              <w:rPr>
                <w:rFonts w:asciiTheme="minorHAnsi" w:hAnsiTheme="minorHAnsi"/>
                <w:sz w:val="22"/>
                <w:szCs w:val="22"/>
              </w:rPr>
            </w:pPr>
            <w:proofErr w:type="gramStart"/>
            <w:r w:rsidRPr="00A11265">
              <w:rPr>
                <w:rFonts w:asciiTheme="minorHAnsi" w:hAnsiTheme="minorHAnsi"/>
                <w:sz w:val="22"/>
                <w:szCs w:val="22"/>
              </w:rPr>
              <w:t>the</w:t>
            </w:r>
            <w:proofErr w:type="gramEnd"/>
            <w:r w:rsidRPr="00A11265">
              <w:rPr>
                <w:rFonts w:asciiTheme="minorHAnsi" w:hAnsiTheme="minorHAnsi"/>
                <w:sz w:val="22"/>
                <w:szCs w:val="22"/>
              </w:rPr>
              <w:t xml:space="preserve"> largest machine’s output in MW.</w:t>
            </w:r>
          </w:p>
          <w:p w14:paraId="352E165A" w14:textId="77777777" w:rsidR="0008616D" w:rsidRPr="00D24B1D" w:rsidRDefault="0008616D" w:rsidP="00EE7D01">
            <w:pPr>
              <w:pStyle w:val="Body"/>
              <w:keepNext/>
              <w:spacing w:after="60" w:line="240" w:lineRule="auto"/>
              <w:rPr>
                <w:rFonts w:asciiTheme="minorHAnsi" w:hAnsiTheme="minorHAnsi"/>
                <w:b/>
                <w:sz w:val="22"/>
                <w:szCs w:val="22"/>
              </w:rPr>
            </w:pPr>
            <w:r w:rsidRPr="00D24B1D">
              <w:rPr>
                <w:rFonts w:asciiTheme="minorHAnsi" w:hAnsiTheme="minorHAnsi"/>
                <w:b/>
                <w:sz w:val="22"/>
                <w:szCs w:val="22"/>
              </w:rPr>
              <w:t>Tennant Creek</w:t>
            </w:r>
          </w:p>
          <w:p w14:paraId="29E8E658" w14:textId="441C5D27" w:rsidR="0008616D" w:rsidRPr="00A11265" w:rsidRDefault="0008616D" w:rsidP="00EE7D01">
            <w:pPr>
              <w:keepNext/>
              <w:rPr>
                <w:rFonts w:asciiTheme="minorHAnsi" w:hAnsiTheme="minorHAnsi" w:cs="Arial"/>
              </w:rPr>
            </w:pPr>
            <w:r w:rsidRPr="00A11265">
              <w:rPr>
                <w:rFonts w:asciiTheme="minorHAnsi" w:hAnsiTheme="minorHAnsi"/>
              </w:rPr>
              <w:t>0.8 MW at all times.</w:t>
            </w:r>
          </w:p>
        </w:tc>
        <w:tc>
          <w:tcPr>
            <w:tcW w:w="0" w:type="auto"/>
            <w:tcBorders>
              <w:top w:val="single" w:sz="4" w:space="0" w:color="auto"/>
              <w:bottom w:val="single" w:sz="4" w:space="0" w:color="auto"/>
            </w:tcBorders>
          </w:tcPr>
          <w:p w14:paraId="66D97EC8" w14:textId="1CF2B516" w:rsidR="0008616D" w:rsidRPr="00A11265" w:rsidRDefault="0008616D" w:rsidP="00EE7D01">
            <w:pPr>
              <w:keepNext/>
              <w:spacing w:before="60" w:after="60"/>
            </w:pPr>
            <w:r w:rsidRPr="00A11265">
              <w:t>In use</w:t>
            </w:r>
          </w:p>
        </w:tc>
      </w:tr>
    </w:tbl>
    <w:p w14:paraId="13B40C2B" w14:textId="77777777" w:rsidR="00CA7A17" w:rsidRPr="00A11265" w:rsidRDefault="00CA7A17" w:rsidP="00621A4F">
      <w:pPr>
        <w:rPr>
          <w:rFonts w:asciiTheme="minorHAnsi" w:hAnsiTheme="minorHAnsi" w:cs="Arial"/>
        </w:rPr>
      </w:pPr>
    </w:p>
    <w:p w14:paraId="79E895F8" w14:textId="00C501FC" w:rsidR="00621A4F" w:rsidRPr="00A11265" w:rsidRDefault="00621A4F" w:rsidP="00D24B1D">
      <w:pPr>
        <w:pStyle w:val="Heading4"/>
      </w:pPr>
      <w:r w:rsidRPr="00A11265">
        <w:lastRenderedPageBreak/>
        <w:t>Restart services</w:t>
      </w:r>
    </w:p>
    <w:p w14:paraId="6ACE3989" w14:textId="45A33BA4" w:rsidR="00621A4F" w:rsidRPr="00A11265" w:rsidRDefault="00621A4F" w:rsidP="00621A4F">
      <w:pPr>
        <w:rPr>
          <w:rFonts w:asciiTheme="minorHAnsi" w:hAnsiTheme="minorHAnsi" w:cs="Arial"/>
        </w:rPr>
      </w:pPr>
      <w:r w:rsidRPr="00A11265">
        <w:rPr>
          <w:rFonts w:asciiTheme="minorHAnsi" w:hAnsiTheme="minorHAnsi" w:cs="Arial"/>
        </w:rPr>
        <w:t>The SCTC references a black system procedure in its</w:t>
      </w:r>
      <w:r w:rsidR="00E7539D" w:rsidRPr="00A11265">
        <w:rPr>
          <w:rFonts w:asciiTheme="minorHAnsi" w:hAnsiTheme="minorHAnsi" w:cs="Arial"/>
        </w:rPr>
        <w:t xml:space="preserve"> essential system services</w:t>
      </w:r>
      <w:r w:rsidRPr="00A11265">
        <w:rPr>
          <w:rFonts w:asciiTheme="minorHAnsi" w:hAnsiTheme="minorHAnsi" w:cs="Arial"/>
        </w:rPr>
        <w:t xml:space="preserve"> section, however</w:t>
      </w:r>
      <w:r w:rsidR="007C4B27" w:rsidRPr="00A11265">
        <w:rPr>
          <w:rFonts w:asciiTheme="minorHAnsi" w:hAnsiTheme="minorHAnsi" w:cs="Arial"/>
        </w:rPr>
        <w:t>,</w:t>
      </w:r>
      <w:r w:rsidRPr="00A11265">
        <w:rPr>
          <w:rFonts w:asciiTheme="minorHAnsi" w:hAnsiTheme="minorHAnsi" w:cs="Arial"/>
        </w:rPr>
        <w:t xml:space="preserve"> in practice the capability for black start is currently provided by Territory Generation</w:t>
      </w:r>
      <w:r w:rsidR="006A704A">
        <w:rPr>
          <w:rFonts w:asciiTheme="minorHAnsi" w:hAnsiTheme="minorHAnsi" w:cs="Arial"/>
        </w:rPr>
        <w:t xml:space="preserve"> (T-Gen)</w:t>
      </w:r>
      <w:r w:rsidRPr="00A11265">
        <w:rPr>
          <w:rFonts w:asciiTheme="minorHAnsi" w:hAnsiTheme="minorHAnsi" w:cs="Arial"/>
        </w:rPr>
        <w:t xml:space="preserve"> generators, consistent with the monopoly provision of other ancillary services. The System Controller is held responsible for </w:t>
      </w:r>
      <w:r w:rsidR="000B13B7" w:rsidRPr="00A11265">
        <w:rPr>
          <w:rFonts w:asciiTheme="minorHAnsi" w:hAnsiTheme="minorHAnsi" w:cs="Arial"/>
        </w:rPr>
        <w:t xml:space="preserve">the </w:t>
      </w:r>
      <w:r w:rsidRPr="00A11265">
        <w:rPr>
          <w:rFonts w:asciiTheme="minorHAnsi" w:hAnsiTheme="minorHAnsi" w:cs="Arial"/>
        </w:rPr>
        <w:t>black start procedure</w:t>
      </w:r>
      <w:r w:rsidR="000B13B7" w:rsidRPr="00A11265">
        <w:rPr>
          <w:rFonts w:asciiTheme="minorHAnsi" w:hAnsiTheme="minorHAnsi" w:cs="Arial"/>
        </w:rPr>
        <w:t xml:space="preserve">, </w:t>
      </w:r>
      <w:r w:rsidRPr="00A11265">
        <w:rPr>
          <w:rFonts w:asciiTheme="minorHAnsi" w:hAnsiTheme="minorHAnsi" w:cs="Arial"/>
        </w:rPr>
        <w:t>is required to have a single restart procedure for each regulated power system, and is required to review arrangements for the procedure annually.</w:t>
      </w:r>
    </w:p>
    <w:p w14:paraId="04823316" w14:textId="39CE81E9" w:rsidR="00621A4F" w:rsidRPr="00A11265" w:rsidRDefault="00621A4F" w:rsidP="00D24B1D">
      <w:pPr>
        <w:pStyle w:val="Heading4"/>
      </w:pPr>
      <w:r w:rsidRPr="00A11265">
        <w:t>System strength</w:t>
      </w:r>
    </w:p>
    <w:p w14:paraId="11EE7F47" w14:textId="77777777" w:rsidR="00621A4F" w:rsidRPr="00A11265" w:rsidRDefault="00621A4F" w:rsidP="00621A4F">
      <w:pPr>
        <w:rPr>
          <w:rFonts w:asciiTheme="minorHAnsi" w:hAnsiTheme="minorHAnsi" w:cs="Arial"/>
        </w:rPr>
      </w:pPr>
      <w:r w:rsidRPr="00A11265">
        <w:rPr>
          <w:rFonts w:asciiTheme="minorHAnsi" w:hAnsiTheme="minorHAnsi" w:cs="Arial"/>
        </w:rPr>
        <w:t xml:space="preserve">There is currently no essential system service for system strength defined on any of the NT regulated power systems. </w:t>
      </w:r>
    </w:p>
    <w:p w14:paraId="059587AF" w14:textId="514BEBA9" w:rsidR="00621A4F" w:rsidRPr="00A11265" w:rsidRDefault="00C812E1" w:rsidP="00621A4F">
      <w:pPr>
        <w:rPr>
          <w:rFonts w:asciiTheme="minorHAnsi" w:hAnsiTheme="minorHAnsi" w:cs="Arial"/>
        </w:rPr>
      </w:pPr>
      <w:r w:rsidRPr="00A11265">
        <w:rPr>
          <w:rFonts w:asciiTheme="minorHAnsi" w:hAnsiTheme="minorHAnsi" w:cs="Arial"/>
        </w:rPr>
        <w:t>T</w:t>
      </w:r>
      <w:r w:rsidR="00621A4F" w:rsidRPr="00A11265">
        <w:rPr>
          <w:rFonts w:asciiTheme="minorHAnsi" w:hAnsiTheme="minorHAnsi" w:cs="Arial"/>
        </w:rPr>
        <w:t>he NTC presents a framework for addressing adverse system strength impacts created by the connection of new generators or by modifying existing generating systems.</w:t>
      </w:r>
      <w:r w:rsidRPr="00A11265">
        <w:rPr>
          <w:rStyle w:val="FootnoteReference"/>
          <w:rFonts w:asciiTheme="minorHAnsi" w:hAnsiTheme="minorHAnsi" w:cs="Arial"/>
        </w:rPr>
        <w:footnoteReference w:id="7"/>
      </w:r>
      <w:r w:rsidR="00621A4F" w:rsidRPr="00A11265">
        <w:rPr>
          <w:rFonts w:asciiTheme="minorHAnsi" w:hAnsiTheme="minorHAnsi" w:cs="Arial"/>
        </w:rPr>
        <w:t xml:space="preserve"> The framework was introduced in March</w:t>
      </w:r>
      <w:r w:rsidR="0066337F" w:rsidRPr="00A11265">
        <w:rPr>
          <w:rFonts w:asciiTheme="minorHAnsi" w:hAnsiTheme="minorHAnsi" w:cs="Arial"/>
        </w:rPr>
        <w:t> </w:t>
      </w:r>
      <w:r w:rsidR="00621A4F" w:rsidRPr="00A11265">
        <w:rPr>
          <w:rFonts w:asciiTheme="minorHAnsi" w:hAnsiTheme="minorHAnsi" w:cs="Arial"/>
        </w:rPr>
        <w:t xml:space="preserve">2020 and requires the Network Operator to develop system strength impact assessment guidelines that describe how adverse system strength impacts will be assessed. Any generator that creates an adverse system strength impact is required to fund the investments required to mitigate those impacts. </w:t>
      </w:r>
    </w:p>
    <w:p w14:paraId="54830397" w14:textId="595224BE" w:rsidR="00621A4F" w:rsidRPr="00A11265" w:rsidRDefault="00621A4F" w:rsidP="00621A4F">
      <w:pPr>
        <w:rPr>
          <w:rFonts w:asciiTheme="minorHAnsi" w:hAnsiTheme="minorHAnsi" w:cs="Arial"/>
        </w:rPr>
      </w:pPr>
      <w:r w:rsidRPr="00A11265">
        <w:rPr>
          <w:rFonts w:asciiTheme="minorHAnsi" w:hAnsiTheme="minorHAnsi" w:cs="Arial"/>
        </w:rPr>
        <w:t xml:space="preserve">The framework in the NTC provides a means of assessing whether a new generation development or modification of an existing generating system is likely to cause an adverse system strength impact and if necessary provides a mechanism for the applicant to fund any necessary mitigation measures. However, the system strength framework in the NTC as currently implemented may not be able to address all system strength issues that could arise in the NT regulated power systems. </w:t>
      </w:r>
    </w:p>
    <w:p w14:paraId="412D887B" w14:textId="77777777" w:rsidR="00621A4F" w:rsidRPr="00A11265" w:rsidRDefault="00621A4F" w:rsidP="00621A4F">
      <w:pPr>
        <w:rPr>
          <w:rFonts w:asciiTheme="minorHAnsi" w:hAnsiTheme="minorHAnsi" w:cs="Arial"/>
        </w:rPr>
      </w:pPr>
      <w:r w:rsidRPr="00A11265">
        <w:rPr>
          <w:rFonts w:asciiTheme="minorHAnsi" w:hAnsiTheme="minorHAnsi" w:cs="Arial"/>
        </w:rPr>
        <w:t xml:space="preserve">Retirement of existing synchronous generators may reduce system strength creating adverse impacts. If those retirements are not linked explicitly to the connection of a new generator then the framework in the NTC may not provide a mechanism to address the adverse system strength impact. </w:t>
      </w:r>
    </w:p>
    <w:p w14:paraId="0AD99B3F" w14:textId="73D30553" w:rsidR="00621A4F" w:rsidRPr="00A11265" w:rsidRDefault="00621A4F" w:rsidP="00D9724C">
      <w:pPr>
        <w:pStyle w:val="Heading3"/>
        <w:keepNext/>
        <w:rPr>
          <w:szCs w:val="24"/>
          <w:lang w:eastAsia="en-AU"/>
        </w:rPr>
      </w:pPr>
      <w:r w:rsidRPr="00A11265">
        <w:rPr>
          <w:szCs w:val="24"/>
          <w:lang w:eastAsia="en-AU"/>
        </w:rPr>
        <w:t>Mandatory requirements</w:t>
      </w:r>
    </w:p>
    <w:p w14:paraId="59257B14" w14:textId="68A54838" w:rsidR="00621A4F" w:rsidRPr="00A11265" w:rsidRDefault="00522241" w:rsidP="00621A4F">
      <w:pPr>
        <w:rPr>
          <w:rFonts w:asciiTheme="minorHAnsi" w:hAnsiTheme="minorHAnsi" w:cs="Arial"/>
        </w:rPr>
      </w:pPr>
      <w:r>
        <w:rPr>
          <w:rFonts w:asciiTheme="minorHAnsi" w:hAnsiTheme="minorHAnsi" w:cs="Arial"/>
        </w:rPr>
        <w:t>There are m</w:t>
      </w:r>
      <w:r w:rsidR="00621A4F" w:rsidRPr="00A11265">
        <w:rPr>
          <w:rFonts w:asciiTheme="minorHAnsi" w:hAnsiTheme="minorHAnsi" w:cs="Arial"/>
        </w:rPr>
        <w:t>andatory requirements for generators connected to the NT regulated systems</w:t>
      </w:r>
      <w:r>
        <w:rPr>
          <w:rFonts w:asciiTheme="minorHAnsi" w:hAnsiTheme="minorHAnsi" w:cs="Arial"/>
        </w:rPr>
        <w:t>, which</w:t>
      </w:r>
      <w:r w:rsidR="00621A4F" w:rsidRPr="00A11265">
        <w:rPr>
          <w:rFonts w:asciiTheme="minorHAnsi" w:hAnsiTheme="minorHAnsi" w:cs="Arial"/>
        </w:rPr>
        <w:t xml:space="preserve"> are not essential system services, </w:t>
      </w:r>
      <w:r>
        <w:rPr>
          <w:rFonts w:asciiTheme="minorHAnsi" w:hAnsiTheme="minorHAnsi" w:cs="Arial"/>
        </w:rPr>
        <w:t xml:space="preserve">but </w:t>
      </w:r>
      <w:r w:rsidR="00621A4F" w:rsidRPr="00A11265">
        <w:rPr>
          <w:rFonts w:asciiTheme="minorHAnsi" w:hAnsiTheme="minorHAnsi" w:cs="Arial"/>
        </w:rPr>
        <w:t xml:space="preserve">have </w:t>
      </w:r>
      <w:r w:rsidR="00A37A05" w:rsidRPr="00A11265">
        <w:rPr>
          <w:rFonts w:asciiTheme="minorHAnsi" w:hAnsiTheme="minorHAnsi" w:cs="Arial"/>
        </w:rPr>
        <w:t xml:space="preserve">a </w:t>
      </w:r>
      <w:r w:rsidR="00621A4F" w:rsidRPr="00A11265">
        <w:rPr>
          <w:rFonts w:asciiTheme="minorHAnsi" w:hAnsiTheme="minorHAnsi" w:cs="Arial"/>
        </w:rPr>
        <w:t xml:space="preserve">direct impact on essential system service </w:t>
      </w:r>
      <w:r w:rsidR="00A37A05" w:rsidRPr="00A11265">
        <w:rPr>
          <w:rFonts w:asciiTheme="minorHAnsi" w:hAnsiTheme="minorHAnsi" w:cs="Arial"/>
        </w:rPr>
        <w:t>requirements</w:t>
      </w:r>
      <w:r w:rsidR="00621A4F" w:rsidRPr="00A11265">
        <w:rPr>
          <w:rFonts w:asciiTheme="minorHAnsi" w:hAnsiTheme="minorHAnsi" w:cs="Arial"/>
        </w:rPr>
        <w:t>, especially with regards to frequency regulation.</w:t>
      </w:r>
    </w:p>
    <w:p w14:paraId="5603ACF2" w14:textId="476EB487" w:rsidR="00621A4F" w:rsidRPr="00A11265" w:rsidRDefault="00621A4F" w:rsidP="00621A4F">
      <w:pPr>
        <w:rPr>
          <w:rFonts w:asciiTheme="minorHAnsi" w:hAnsiTheme="minorHAnsi" w:cs="Arial"/>
        </w:rPr>
      </w:pPr>
      <w:r w:rsidRPr="00A11265">
        <w:rPr>
          <w:rFonts w:asciiTheme="minorHAnsi" w:hAnsiTheme="minorHAnsi" w:cs="Arial"/>
        </w:rPr>
        <w:t>There are currently mandatory requirements for frequency response applied to generators on the NT regulated power systems.</w:t>
      </w:r>
      <w:r w:rsidR="00CD63CB" w:rsidRPr="00A11265">
        <w:rPr>
          <w:rStyle w:val="FootnoteReference"/>
          <w:rFonts w:asciiTheme="minorHAnsi" w:hAnsiTheme="minorHAnsi" w:cs="Arial"/>
        </w:rPr>
        <w:footnoteReference w:id="8"/>
      </w:r>
      <w:r w:rsidRPr="00A11265">
        <w:rPr>
          <w:rFonts w:asciiTheme="minorHAnsi" w:hAnsiTheme="minorHAnsi" w:cs="Arial"/>
        </w:rPr>
        <w:t xml:space="preserve"> </w:t>
      </w:r>
    </w:p>
    <w:p w14:paraId="7BF634BD" w14:textId="6D276050" w:rsidR="00621A4F" w:rsidRPr="00A11265" w:rsidRDefault="00621A4F" w:rsidP="00621A4F">
      <w:pPr>
        <w:rPr>
          <w:rFonts w:asciiTheme="minorHAnsi" w:hAnsiTheme="minorHAnsi" w:cs="Arial"/>
        </w:rPr>
      </w:pPr>
      <w:r w:rsidRPr="00A11265">
        <w:rPr>
          <w:rFonts w:asciiTheme="minorHAnsi" w:hAnsiTheme="minorHAnsi" w:cs="Arial"/>
        </w:rPr>
        <w:t xml:space="preserve">A move in the </w:t>
      </w:r>
      <w:r w:rsidR="00CD63CB" w:rsidRPr="00A11265">
        <w:rPr>
          <w:rFonts w:asciiTheme="minorHAnsi" w:hAnsiTheme="minorHAnsi" w:cs="Arial"/>
        </w:rPr>
        <w:t>National Electricity Market</w:t>
      </w:r>
      <w:r w:rsidR="00A37A05" w:rsidRPr="00A11265">
        <w:rPr>
          <w:rFonts w:asciiTheme="minorHAnsi" w:hAnsiTheme="minorHAnsi" w:cs="Arial"/>
        </w:rPr>
        <w:t xml:space="preserve"> (NEM)</w:t>
      </w:r>
      <w:r w:rsidRPr="00A11265">
        <w:rPr>
          <w:rFonts w:asciiTheme="minorHAnsi" w:hAnsiTheme="minorHAnsi" w:cs="Arial"/>
        </w:rPr>
        <w:t xml:space="preserve"> away from this mandatory approach when </w:t>
      </w:r>
      <w:r w:rsidR="00A37A05" w:rsidRPr="00A11265">
        <w:rPr>
          <w:rFonts w:asciiTheme="minorHAnsi" w:hAnsiTheme="minorHAnsi" w:cs="Arial"/>
        </w:rPr>
        <w:t>essential system service</w:t>
      </w:r>
      <w:r w:rsidRPr="00A11265">
        <w:rPr>
          <w:rFonts w:asciiTheme="minorHAnsi" w:hAnsiTheme="minorHAnsi" w:cs="Arial"/>
        </w:rPr>
        <w:t xml:space="preserve"> markets were first implemented</w:t>
      </w:r>
      <w:r w:rsidR="00A37A05" w:rsidRPr="00A11265">
        <w:rPr>
          <w:rStyle w:val="FootnoteReference"/>
          <w:rFonts w:asciiTheme="minorHAnsi" w:hAnsiTheme="minorHAnsi" w:cs="Arial"/>
        </w:rPr>
        <w:footnoteReference w:id="9"/>
      </w:r>
      <w:r w:rsidRPr="00A11265">
        <w:rPr>
          <w:rFonts w:asciiTheme="minorHAnsi" w:hAnsiTheme="minorHAnsi" w:cs="Arial"/>
        </w:rPr>
        <w:t xml:space="preserve"> led to a significant decline in the quality of frequency regulation around 50 Hz, with an increased burden on the providers of frequency regulation </w:t>
      </w:r>
      <w:r w:rsidR="00A37A05" w:rsidRPr="00A11265">
        <w:rPr>
          <w:rFonts w:asciiTheme="minorHAnsi" w:hAnsiTheme="minorHAnsi" w:cs="Arial"/>
        </w:rPr>
        <w:t>essential system services</w:t>
      </w:r>
      <w:r w:rsidRPr="00A11265">
        <w:rPr>
          <w:rFonts w:asciiTheme="minorHAnsi" w:hAnsiTheme="minorHAnsi" w:cs="Arial"/>
        </w:rPr>
        <w:t>. Changes have recently be</w:t>
      </w:r>
      <w:r w:rsidR="00A37A05" w:rsidRPr="00A11265">
        <w:rPr>
          <w:rFonts w:asciiTheme="minorHAnsi" w:hAnsiTheme="minorHAnsi" w:cs="Arial"/>
        </w:rPr>
        <w:t>en</w:t>
      </w:r>
      <w:r w:rsidRPr="00A11265">
        <w:rPr>
          <w:rFonts w:asciiTheme="minorHAnsi" w:hAnsiTheme="minorHAnsi" w:cs="Arial"/>
        </w:rPr>
        <w:t xml:space="preserve"> introduced in the </w:t>
      </w:r>
      <w:r w:rsidR="00A37A05" w:rsidRPr="00A11265">
        <w:rPr>
          <w:rFonts w:asciiTheme="minorHAnsi" w:hAnsiTheme="minorHAnsi" w:cs="Arial"/>
        </w:rPr>
        <w:t>NEM</w:t>
      </w:r>
      <w:r w:rsidRPr="00A11265">
        <w:rPr>
          <w:rFonts w:asciiTheme="minorHAnsi" w:hAnsiTheme="minorHAnsi" w:cs="Arial"/>
        </w:rPr>
        <w:t xml:space="preserve"> that require all generators to </w:t>
      </w:r>
      <w:r w:rsidRPr="00A11265">
        <w:rPr>
          <w:rFonts w:asciiTheme="minorHAnsi" w:hAnsiTheme="minorHAnsi" w:cs="Arial"/>
        </w:rPr>
        <w:lastRenderedPageBreak/>
        <w:t xml:space="preserve">implement changes to their control systems to provide primary frequency response meeting requirements developed by </w:t>
      </w:r>
      <w:r w:rsidR="00A37A05" w:rsidRPr="00A11265">
        <w:rPr>
          <w:rFonts w:asciiTheme="minorHAnsi" w:hAnsiTheme="minorHAnsi" w:cs="Arial"/>
        </w:rPr>
        <w:t>the Australian Energy Market Operator.</w:t>
      </w:r>
      <w:r w:rsidR="00A37A05" w:rsidRPr="00A11265">
        <w:rPr>
          <w:rStyle w:val="FootnoteReference"/>
          <w:rFonts w:asciiTheme="minorHAnsi" w:hAnsiTheme="minorHAnsi" w:cs="Arial"/>
        </w:rPr>
        <w:footnoteReference w:id="10"/>
      </w:r>
    </w:p>
    <w:p w14:paraId="2F52245B" w14:textId="27D072C6" w:rsidR="00621A4F" w:rsidRPr="00A11265" w:rsidRDefault="00621A4F" w:rsidP="00621A4F">
      <w:pPr>
        <w:rPr>
          <w:rFonts w:asciiTheme="minorHAnsi" w:hAnsiTheme="minorHAnsi" w:cs="Arial"/>
        </w:rPr>
      </w:pPr>
      <w:r w:rsidRPr="00A11265">
        <w:rPr>
          <w:rFonts w:asciiTheme="minorHAnsi" w:hAnsiTheme="minorHAnsi" w:cs="Arial"/>
        </w:rPr>
        <w:t>Another measure taken by Power and Water Corporation and the Utilities Commission to assist with the regulation of frequency was the introduction of updated GPS through revisions to the NTC. The new GPS approved in March 2020 require that all new licenced generators, which exceed the materiality threshold specified in the NTC, are predictable and controllable. As a result, new large-scale solar PV, for example, should not substantially add to the requirement for additional volumes of essential system services in terms of frequency regulation. Under the revised GPS, new generation systems should be capable of meeting their dispatch targets each half hour. The revised GPS also requires that all generators, that exceed the materiality threshold specified in the NTC, contribute to responding to frequency deviations recognising that this response will be subject to energy source limitations.</w:t>
      </w:r>
      <w:r w:rsidR="00AD132D" w:rsidRPr="00A11265">
        <w:rPr>
          <w:rStyle w:val="FootnoteReference"/>
          <w:rFonts w:asciiTheme="minorHAnsi" w:hAnsiTheme="minorHAnsi" w:cs="Arial"/>
        </w:rPr>
        <w:footnoteReference w:id="11"/>
      </w:r>
    </w:p>
    <w:p w14:paraId="069C70A7" w14:textId="02CFD506" w:rsidR="00621A4F" w:rsidRPr="00A11265" w:rsidRDefault="00621A4F" w:rsidP="00621A4F">
      <w:pPr>
        <w:rPr>
          <w:rFonts w:asciiTheme="minorHAnsi" w:hAnsiTheme="minorHAnsi" w:cs="Arial"/>
        </w:rPr>
      </w:pPr>
      <w:r w:rsidRPr="00A11265">
        <w:rPr>
          <w:rFonts w:asciiTheme="minorHAnsi" w:hAnsiTheme="minorHAnsi" w:cs="Arial"/>
        </w:rPr>
        <w:t xml:space="preserve">The current reformed </w:t>
      </w:r>
      <w:r w:rsidR="000458F9">
        <w:rPr>
          <w:rFonts w:asciiTheme="minorHAnsi" w:hAnsiTheme="minorHAnsi" w:cs="Arial"/>
        </w:rPr>
        <w:t>GPS</w:t>
      </w:r>
      <w:r w:rsidRPr="00A11265">
        <w:rPr>
          <w:rFonts w:asciiTheme="minorHAnsi" w:hAnsiTheme="minorHAnsi" w:cs="Arial"/>
        </w:rPr>
        <w:t xml:space="preserve"> will reduce the burden on frequency regulation that would otherwise be imposed by the connection </w:t>
      </w:r>
      <w:r w:rsidR="005425F1" w:rsidRPr="00A11265">
        <w:rPr>
          <w:rFonts w:asciiTheme="minorHAnsi" w:hAnsiTheme="minorHAnsi" w:cs="Arial"/>
        </w:rPr>
        <w:t>of non-</w:t>
      </w:r>
      <w:proofErr w:type="spellStart"/>
      <w:r w:rsidR="005425F1" w:rsidRPr="00A11265">
        <w:rPr>
          <w:rFonts w:asciiTheme="minorHAnsi" w:hAnsiTheme="minorHAnsi" w:cs="Arial"/>
        </w:rPr>
        <w:t>dispatchable</w:t>
      </w:r>
      <w:proofErr w:type="spellEnd"/>
      <w:r w:rsidR="005425F1" w:rsidRPr="00A11265">
        <w:rPr>
          <w:rFonts w:asciiTheme="minorHAnsi" w:hAnsiTheme="minorHAnsi" w:cs="Arial"/>
        </w:rPr>
        <w:t xml:space="preserve"> generation.</w:t>
      </w:r>
    </w:p>
    <w:p w14:paraId="4830FF7E" w14:textId="106EBB02" w:rsidR="00CB560D" w:rsidRPr="00A11265" w:rsidRDefault="00660DDB" w:rsidP="00D9724C">
      <w:pPr>
        <w:pStyle w:val="Heading3"/>
        <w:rPr>
          <w:szCs w:val="24"/>
          <w:lang w:eastAsia="en-AU"/>
        </w:rPr>
      </w:pPr>
      <w:bookmarkStart w:id="57" w:name="_Toc57813149"/>
      <w:bookmarkStart w:id="58" w:name="_Toc57813287"/>
      <w:bookmarkStart w:id="59" w:name="_Toc57813411"/>
      <w:bookmarkStart w:id="60" w:name="_Toc57889184"/>
      <w:bookmarkStart w:id="61" w:name="_Toc57997887"/>
      <w:bookmarkStart w:id="62" w:name="_Toc58068053"/>
      <w:bookmarkStart w:id="63" w:name="_Toc58156930"/>
      <w:bookmarkStart w:id="64" w:name="_Toc58207481"/>
      <w:bookmarkStart w:id="65" w:name="_Toc57813150"/>
      <w:bookmarkStart w:id="66" w:name="_Toc57813288"/>
      <w:bookmarkStart w:id="67" w:name="_Toc57813412"/>
      <w:bookmarkStart w:id="68" w:name="_Toc57889185"/>
      <w:bookmarkStart w:id="69" w:name="_Toc57997888"/>
      <w:bookmarkStart w:id="70" w:name="_Toc58068054"/>
      <w:bookmarkStart w:id="71" w:name="_Toc58156931"/>
      <w:bookmarkStart w:id="72" w:name="_Toc58207482"/>
      <w:bookmarkStart w:id="73" w:name="_Toc57813151"/>
      <w:bookmarkStart w:id="74" w:name="_Toc57813289"/>
      <w:bookmarkStart w:id="75" w:name="_Toc57813413"/>
      <w:bookmarkStart w:id="76" w:name="_Toc57889186"/>
      <w:bookmarkStart w:id="77" w:name="_Toc57997889"/>
      <w:bookmarkStart w:id="78" w:name="_Toc58068055"/>
      <w:bookmarkStart w:id="79" w:name="_Toc58156932"/>
      <w:bookmarkStart w:id="80" w:name="_Toc58207483"/>
      <w:bookmarkStart w:id="81" w:name="_Toc41893972"/>
      <w:bookmarkStart w:id="82" w:name="_Toc41902213"/>
      <w:bookmarkStart w:id="83" w:name="_Toc4223508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A11265">
        <w:rPr>
          <w:szCs w:val="24"/>
          <w:lang w:eastAsia="en-AU"/>
        </w:rPr>
        <w:t>C</w:t>
      </w:r>
      <w:r w:rsidR="00CB560D" w:rsidRPr="00A11265">
        <w:rPr>
          <w:szCs w:val="24"/>
          <w:lang w:eastAsia="en-AU"/>
        </w:rPr>
        <w:t>ase for change</w:t>
      </w:r>
    </w:p>
    <w:p w14:paraId="1BF2B343" w14:textId="2A6BE5B7" w:rsidR="00DD142D" w:rsidRPr="00A11265" w:rsidRDefault="00DD142D" w:rsidP="00D9724C">
      <w:pPr>
        <w:rPr>
          <w:rFonts w:asciiTheme="minorHAnsi" w:hAnsiTheme="minorHAnsi" w:cstheme="majorBidi"/>
          <w:b/>
          <w:bCs/>
          <w:iCs/>
          <w:lang w:eastAsia="en-AU"/>
        </w:rPr>
      </w:pPr>
      <w:r w:rsidRPr="00A11265">
        <w:rPr>
          <w:rFonts w:asciiTheme="minorHAnsi" w:hAnsiTheme="minorHAnsi" w:cstheme="majorBidi"/>
          <w:b/>
          <w:bCs/>
          <w:iCs/>
          <w:lang w:eastAsia="en-AU"/>
        </w:rPr>
        <w:t>Frequency management</w:t>
      </w:r>
    </w:p>
    <w:p w14:paraId="48D3D54D" w14:textId="03E59497" w:rsidR="00DD142D" w:rsidRPr="00A11265" w:rsidRDefault="00DD142D" w:rsidP="00DD142D">
      <w:pPr>
        <w:rPr>
          <w:rFonts w:asciiTheme="minorHAnsi" w:hAnsiTheme="minorHAnsi" w:cs="Arial"/>
        </w:rPr>
      </w:pPr>
      <w:r w:rsidRPr="00A11265">
        <w:rPr>
          <w:rFonts w:asciiTheme="minorHAnsi" w:hAnsiTheme="minorHAnsi" w:cs="Arial"/>
        </w:rPr>
        <w:t>The existing frequency management needs of the NT regulated systems are met by the existing spinning reserve and regulating frequency management services. However, the current needs of the system do not reflect its future requirements due to significant changes in the mix of technologies connecting</w:t>
      </w:r>
      <w:r w:rsidR="002B53E5">
        <w:rPr>
          <w:rFonts w:asciiTheme="minorHAnsi" w:hAnsiTheme="minorHAnsi" w:cs="Arial"/>
        </w:rPr>
        <w:t xml:space="preserve"> and</w:t>
      </w:r>
      <w:r w:rsidRPr="00A11265">
        <w:rPr>
          <w:rFonts w:asciiTheme="minorHAnsi" w:hAnsiTheme="minorHAnsi" w:cs="Arial"/>
        </w:rPr>
        <w:t xml:space="preserve"> </w:t>
      </w:r>
      <w:r w:rsidR="00AD132D" w:rsidRPr="00A11265">
        <w:rPr>
          <w:rFonts w:asciiTheme="minorHAnsi" w:hAnsiTheme="minorHAnsi" w:cs="Arial"/>
        </w:rPr>
        <w:t xml:space="preserve">a number of </w:t>
      </w:r>
      <w:r w:rsidRPr="00A11265">
        <w:rPr>
          <w:rFonts w:asciiTheme="minorHAnsi" w:hAnsiTheme="minorHAnsi" w:cs="Arial"/>
        </w:rPr>
        <w:t>issues with the current arrangements have been identified.</w:t>
      </w:r>
    </w:p>
    <w:p w14:paraId="01AABB26" w14:textId="04A94E3D" w:rsidR="00DD142D" w:rsidRPr="00A11265" w:rsidRDefault="00DD142D" w:rsidP="001F613E">
      <w:pPr>
        <w:pStyle w:val="ListParagraph"/>
        <w:numPr>
          <w:ilvl w:val="0"/>
          <w:numId w:val="11"/>
        </w:numPr>
        <w:spacing w:before="200"/>
        <w:ind w:left="426"/>
        <w:rPr>
          <w:rFonts w:cs="Arial"/>
        </w:rPr>
      </w:pPr>
      <w:r w:rsidRPr="00A11265">
        <w:rPr>
          <w:rFonts w:cs="Arial"/>
        </w:rPr>
        <w:t>The Northern Territory</w:t>
      </w:r>
      <w:r w:rsidR="00F17647">
        <w:rPr>
          <w:rFonts w:cs="Arial"/>
        </w:rPr>
        <w:t xml:space="preserve"> Government</w:t>
      </w:r>
      <w:r w:rsidRPr="00A11265">
        <w:rPr>
          <w:rFonts w:cs="Arial"/>
        </w:rPr>
        <w:t xml:space="preserve"> has a 50</w:t>
      </w:r>
      <w:r w:rsidR="00AD132D" w:rsidRPr="00A11265">
        <w:rPr>
          <w:rFonts w:cs="Arial"/>
        </w:rPr>
        <w:t xml:space="preserve"> per cent</w:t>
      </w:r>
      <w:r w:rsidRPr="00A11265">
        <w:rPr>
          <w:rFonts w:cs="Arial"/>
        </w:rPr>
        <w:t xml:space="preserve"> renewable energy target by 2030, which </w:t>
      </w:r>
      <w:r w:rsidR="00FE0766" w:rsidRPr="00A11265">
        <w:rPr>
          <w:rFonts w:cs="Arial"/>
        </w:rPr>
        <w:t xml:space="preserve">will </w:t>
      </w:r>
      <w:r w:rsidRPr="00A11265">
        <w:rPr>
          <w:rFonts w:cs="Arial"/>
        </w:rPr>
        <w:t>require a higher penetration of non-synchronous solar PV. As this target is met, it will inherently displace synchronous generators, the only generators capable of providing spinning reserve.</w:t>
      </w:r>
    </w:p>
    <w:p w14:paraId="0DDA61EC" w14:textId="3CAD2A3F" w:rsidR="00DD142D" w:rsidRPr="00A11265" w:rsidRDefault="00DD142D" w:rsidP="001F613E">
      <w:pPr>
        <w:pStyle w:val="ListParagraph"/>
        <w:numPr>
          <w:ilvl w:val="0"/>
          <w:numId w:val="11"/>
        </w:numPr>
        <w:spacing w:before="200"/>
        <w:ind w:left="426"/>
        <w:rPr>
          <w:rFonts w:cs="Arial"/>
        </w:rPr>
      </w:pPr>
      <w:r w:rsidRPr="00A11265">
        <w:rPr>
          <w:rFonts w:cs="Arial"/>
        </w:rPr>
        <w:t>Continuing to procure spinning reserve as the only essential system service controlling frequency following contingencies will result in the substantial curtailment of non-synchronous generation as this arrangement will require the constraining on of synchronous generators to provide the service.</w:t>
      </w:r>
    </w:p>
    <w:p w14:paraId="0DEB484C" w14:textId="12A8B395" w:rsidR="00DD142D" w:rsidRPr="00A11265" w:rsidRDefault="00DD142D" w:rsidP="001F613E">
      <w:pPr>
        <w:pStyle w:val="ListParagraph"/>
        <w:numPr>
          <w:ilvl w:val="0"/>
          <w:numId w:val="11"/>
        </w:numPr>
        <w:spacing w:before="200"/>
        <w:ind w:left="426"/>
        <w:rPr>
          <w:rFonts w:cs="Arial"/>
        </w:rPr>
      </w:pPr>
      <w:r w:rsidRPr="00A11265">
        <w:rPr>
          <w:rFonts w:cs="Arial"/>
        </w:rPr>
        <w:t>Spinning reserve inherently requires generators to be dispatched at less efficient output levels.</w:t>
      </w:r>
    </w:p>
    <w:p w14:paraId="16414083" w14:textId="12A9A3E1" w:rsidR="00DD142D" w:rsidRPr="00A11265" w:rsidRDefault="00DD142D" w:rsidP="001F613E">
      <w:pPr>
        <w:pStyle w:val="ListParagraph"/>
        <w:numPr>
          <w:ilvl w:val="0"/>
          <w:numId w:val="11"/>
        </w:numPr>
        <w:spacing w:before="200"/>
        <w:ind w:left="426"/>
        <w:rPr>
          <w:rFonts w:cs="Arial"/>
        </w:rPr>
      </w:pPr>
      <w:r w:rsidRPr="00A11265">
        <w:rPr>
          <w:rFonts w:cs="Arial"/>
        </w:rPr>
        <w:t>A displacement of synchronous generators will cause a reduction in inertia on the</w:t>
      </w:r>
      <w:r w:rsidR="00FE0766" w:rsidRPr="00A11265">
        <w:rPr>
          <w:rFonts w:cs="Arial"/>
        </w:rPr>
        <w:t xml:space="preserve"> </w:t>
      </w:r>
      <w:r w:rsidR="002B2210" w:rsidRPr="00A11265">
        <w:rPr>
          <w:rFonts w:cs="Arial"/>
        </w:rPr>
        <w:t xml:space="preserve">NT regulated </w:t>
      </w:r>
      <w:r w:rsidR="00FE0766" w:rsidRPr="00A11265">
        <w:rPr>
          <w:rFonts w:cs="Arial"/>
        </w:rPr>
        <w:t>systems</w:t>
      </w:r>
      <w:r w:rsidRPr="00A11265">
        <w:rPr>
          <w:rFonts w:cs="Arial"/>
        </w:rPr>
        <w:t xml:space="preserve">, making the systems more likely to experience potentially damaging high </w:t>
      </w:r>
      <w:proofErr w:type="spellStart"/>
      <w:r w:rsidRPr="00A11265">
        <w:rPr>
          <w:rFonts w:cs="Arial"/>
        </w:rPr>
        <w:t>RoCoF</w:t>
      </w:r>
      <w:proofErr w:type="spellEnd"/>
      <w:r w:rsidRPr="00A11265">
        <w:rPr>
          <w:rFonts w:cs="Arial"/>
        </w:rPr>
        <w:t xml:space="preserve"> events. There will be a need for other methods of controlling </w:t>
      </w:r>
      <w:proofErr w:type="spellStart"/>
      <w:r w:rsidRPr="00A11265">
        <w:rPr>
          <w:rFonts w:cs="Arial"/>
        </w:rPr>
        <w:t>RoCoF</w:t>
      </w:r>
      <w:proofErr w:type="spellEnd"/>
      <w:r w:rsidRPr="00A11265">
        <w:rPr>
          <w:rFonts w:cs="Arial"/>
        </w:rPr>
        <w:t xml:space="preserve"> in the future.</w:t>
      </w:r>
    </w:p>
    <w:p w14:paraId="29462F12" w14:textId="19821124" w:rsidR="00DD142D" w:rsidRPr="00A11265" w:rsidRDefault="00DD142D" w:rsidP="001F613E">
      <w:pPr>
        <w:pStyle w:val="ListParagraph"/>
        <w:numPr>
          <w:ilvl w:val="0"/>
          <w:numId w:val="11"/>
        </w:numPr>
        <w:spacing w:before="200"/>
        <w:ind w:left="426"/>
        <w:rPr>
          <w:rFonts w:cs="Arial"/>
        </w:rPr>
      </w:pPr>
      <w:r w:rsidRPr="00A11265">
        <w:rPr>
          <w:rFonts w:cs="Arial"/>
        </w:rPr>
        <w:t>Frequency management essential system services can be provided by other technologies, including BESS, loads capable of reducing/increasing power output and in some cases, non-synchronous generators. The current arrangements for frequency management services are not technology</w:t>
      </w:r>
      <w:r w:rsidR="000458F9">
        <w:rPr>
          <w:rFonts w:cs="Arial"/>
        </w:rPr>
        <w:t xml:space="preserve"> </w:t>
      </w:r>
      <w:r w:rsidR="00901D6D">
        <w:rPr>
          <w:rFonts w:cs="Arial"/>
        </w:rPr>
        <w:t>neutral</w:t>
      </w:r>
      <w:r w:rsidRPr="00A11265">
        <w:rPr>
          <w:rFonts w:cs="Arial"/>
        </w:rPr>
        <w:t>, and prevent alternative technologies providing essential system services.</w:t>
      </w:r>
    </w:p>
    <w:p w14:paraId="38A27B98" w14:textId="27E743DA" w:rsidR="00DD142D" w:rsidRPr="00A11265" w:rsidRDefault="00DD142D" w:rsidP="00D24B1D">
      <w:pPr>
        <w:pStyle w:val="Heading4"/>
      </w:pPr>
      <w:r w:rsidRPr="00A11265">
        <w:t>Voltage management / network support</w:t>
      </w:r>
    </w:p>
    <w:p w14:paraId="4C6C5454" w14:textId="2DD852F8" w:rsidR="00DD142D" w:rsidRPr="00A11265" w:rsidRDefault="00DD142D" w:rsidP="00DD142D">
      <w:pPr>
        <w:rPr>
          <w:rFonts w:asciiTheme="minorHAnsi" w:hAnsiTheme="minorHAnsi" w:cs="Arial"/>
        </w:rPr>
      </w:pPr>
      <w:r w:rsidRPr="00A11265">
        <w:rPr>
          <w:rFonts w:asciiTheme="minorHAnsi" w:hAnsiTheme="minorHAnsi" w:cs="Arial"/>
        </w:rPr>
        <w:t xml:space="preserve">The existing </w:t>
      </w:r>
      <w:r w:rsidR="000458F9">
        <w:rPr>
          <w:rFonts w:asciiTheme="minorHAnsi" w:hAnsiTheme="minorHAnsi" w:cs="Arial"/>
        </w:rPr>
        <w:t>GPS</w:t>
      </w:r>
      <w:r w:rsidRPr="00A11265">
        <w:rPr>
          <w:rFonts w:asciiTheme="minorHAnsi" w:hAnsiTheme="minorHAnsi" w:cs="Arial"/>
        </w:rPr>
        <w:t xml:space="preserve"> mandating the provision of adequate reactive power from generators are fair and equitable, as all generators participate equally in providing investments necessary to support voltage control on the NT regulated systems. There are therefore limited circumstances under which a voltage control service would require procurement. However, an outage of a network element may require a </w:t>
      </w:r>
      <w:r w:rsidRPr="00A11265">
        <w:rPr>
          <w:rFonts w:asciiTheme="minorHAnsi" w:hAnsiTheme="minorHAnsi" w:cs="Arial"/>
        </w:rPr>
        <w:lastRenderedPageBreak/>
        <w:t>generator to provide an active power response to support a load due to a network constraint. The current arrangements for provision of these network support services are not adequate for the system going forward. Mandatory provision of network support services by system participants can lead to generation dispatched out of merit order to maintain voltage control, contributing to inefficient system operation.</w:t>
      </w:r>
    </w:p>
    <w:p w14:paraId="72EBF9BF" w14:textId="5EF3B31B" w:rsidR="00DD142D" w:rsidRPr="00A11265" w:rsidRDefault="00DD142D" w:rsidP="001F613E">
      <w:pPr>
        <w:pStyle w:val="ListParagraph"/>
        <w:numPr>
          <w:ilvl w:val="0"/>
          <w:numId w:val="11"/>
        </w:numPr>
        <w:spacing w:before="200"/>
        <w:ind w:left="426"/>
        <w:rPr>
          <w:rFonts w:cs="Arial"/>
        </w:rPr>
      </w:pPr>
      <w:r w:rsidRPr="00A11265">
        <w:rPr>
          <w:rFonts w:cs="Arial"/>
        </w:rPr>
        <w:t>Where generators are required to provide reactive capability when producing no active power</w:t>
      </w:r>
      <w:r w:rsidR="002B2210" w:rsidRPr="00A11265">
        <w:rPr>
          <w:rFonts w:cs="Arial"/>
        </w:rPr>
        <w:t>, for example,</w:t>
      </w:r>
      <w:r w:rsidRPr="00A11265">
        <w:rPr>
          <w:rFonts w:cs="Arial"/>
        </w:rPr>
        <w:t xml:space="preserve"> solar </w:t>
      </w:r>
      <w:r w:rsidR="000458F9">
        <w:rPr>
          <w:rFonts w:cs="Arial"/>
        </w:rPr>
        <w:t>PV</w:t>
      </w:r>
      <w:r w:rsidRPr="00A11265">
        <w:rPr>
          <w:rFonts w:cs="Arial"/>
        </w:rPr>
        <w:t xml:space="preserve"> at night, this falls outside the </w:t>
      </w:r>
      <w:r w:rsidR="00361DDC" w:rsidRPr="00A11265">
        <w:rPr>
          <w:rFonts w:cs="Arial"/>
        </w:rPr>
        <w:t>GPS</w:t>
      </w:r>
      <w:r w:rsidRPr="00A11265">
        <w:rPr>
          <w:rFonts w:cs="Arial"/>
        </w:rPr>
        <w:t xml:space="preserve"> and should be considered as an essential system service if required to operate the system.</w:t>
      </w:r>
    </w:p>
    <w:p w14:paraId="61D90F6B" w14:textId="518B340E" w:rsidR="00DD142D" w:rsidRPr="00A11265" w:rsidRDefault="00DD142D" w:rsidP="001F613E">
      <w:pPr>
        <w:pStyle w:val="ListParagraph"/>
        <w:numPr>
          <w:ilvl w:val="0"/>
          <w:numId w:val="11"/>
        </w:numPr>
        <w:spacing w:before="200"/>
        <w:ind w:left="426"/>
        <w:rPr>
          <w:rFonts w:cs="Arial"/>
        </w:rPr>
      </w:pPr>
      <w:r w:rsidRPr="00A11265">
        <w:rPr>
          <w:rFonts w:cs="Arial"/>
        </w:rPr>
        <w:t xml:space="preserve">Mandatory provision of network support services by system participants under the current monopoly framework will not be tenable for localised issues going forward. Where </w:t>
      </w:r>
      <w:r w:rsidR="006A704A">
        <w:rPr>
          <w:rFonts w:cs="Arial"/>
        </w:rPr>
        <w:t>T</w:t>
      </w:r>
      <w:r w:rsidR="006A704A">
        <w:rPr>
          <w:rFonts w:cs="Arial"/>
        </w:rPr>
        <w:noBreakHyphen/>
        <w:t>Gen</w:t>
      </w:r>
      <w:r w:rsidRPr="00A11265">
        <w:rPr>
          <w:rFonts w:cs="Arial"/>
        </w:rPr>
        <w:t xml:space="preserve"> is not capable of providing a solution to a localised issue, provision of a voltage control service from an independent generator will be without any explicit compensation. </w:t>
      </w:r>
    </w:p>
    <w:p w14:paraId="5F315F99" w14:textId="7836CF8A" w:rsidR="00DD142D" w:rsidRPr="00A11265" w:rsidRDefault="00DD142D" w:rsidP="001F613E">
      <w:pPr>
        <w:pStyle w:val="ListParagraph"/>
        <w:numPr>
          <w:ilvl w:val="0"/>
          <w:numId w:val="11"/>
        </w:numPr>
        <w:spacing w:before="200"/>
        <w:ind w:left="426"/>
        <w:rPr>
          <w:rFonts w:cs="Arial"/>
        </w:rPr>
      </w:pPr>
      <w:r w:rsidRPr="00A11265">
        <w:rPr>
          <w:rFonts w:cs="Arial"/>
        </w:rPr>
        <w:t xml:space="preserve">Lack of unbundling of pricing of network support or voltage management services means there is no signalling or incentive for the </w:t>
      </w:r>
      <w:r w:rsidR="00361DDC" w:rsidRPr="00A11265">
        <w:rPr>
          <w:rFonts w:cs="Arial"/>
        </w:rPr>
        <w:t>N</w:t>
      </w:r>
      <w:r w:rsidRPr="00A11265">
        <w:rPr>
          <w:rFonts w:cs="Arial"/>
        </w:rPr>
        <w:t xml:space="preserve">etwork </w:t>
      </w:r>
      <w:r w:rsidR="00361DDC" w:rsidRPr="00A11265">
        <w:rPr>
          <w:rFonts w:cs="Arial"/>
        </w:rPr>
        <w:t>O</w:t>
      </w:r>
      <w:r w:rsidRPr="00A11265">
        <w:rPr>
          <w:rFonts w:cs="Arial"/>
        </w:rPr>
        <w:t>perator to resolve issues.</w:t>
      </w:r>
    </w:p>
    <w:p w14:paraId="042D67B9" w14:textId="62BA5A79" w:rsidR="00DD142D" w:rsidRPr="00A11265" w:rsidRDefault="00DD142D" w:rsidP="001F613E">
      <w:pPr>
        <w:pStyle w:val="ListParagraph"/>
        <w:numPr>
          <w:ilvl w:val="0"/>
          <w:numId w:val="11"/>
        </w:numPr>
        <w:spacing w:before="200"/>
        <w:ind w:left="426"/>
        <w:rPr>
          <w:rFonts w:cs="Arial"/>
        </w:rPr>
      </w:pPr>
      <w:r w:rsidRPr="00A11265">
        <w:rPr>
          <w:rFonts w:cs="Arial"/>
        </w:rPr>
        <w:t>Under a clear and transparent framework, shortfalls identified in reactive power reserve or network capacity could be met by a broader range of providers including both generators and loads, despite geographical limitation for providers of each service.</w:t>
      </w:r>
    </w:p>
    <w:p w14:paraId="5CF0D057" w14:textId="222DB511" w:rsidR="00DD142D" w:rsidRPr="00A11265" w:rsidRDefault="00E51AFE" w:rsidP="00D24B1D">
      <w:pPr>
        <w:pStyle w:val="Heading4"/>
      </w:pPr>
      <w:r w:rsidRPr="00A11265">
        <w:t>System restart</w:t>
      </w:r>
    </w:p>
    <w:p w14:paraId="1D7572EC" w14:textId="03FB2CAD" w:rsidR="00DD142D" w:rsidRPr="00A11265" w:rsidRDefault="00DD142D" w:rsidP="00DD142D">
      <w:pPr>
        <w:rPr>
          <w:rFonts w:asciiTheme="minorHAnsi" w:hAnsiTheme="minorHAnsi" w:cs="Arial"/>
        </w:rPr>
      </w:pPr>
      <w:r w:rsidRPr="00A11265">
        <w:rPr>
          <w:rFonts w:asciiTheme="minorHAnsi" w:hAnsiTheme="minorHAnsi" w:cs="Arial"/>
        </w:rPr>
        <w:t>Current black start arrangements</w:t>
      </w:r>
      <w:r w:rsidR="00BC7422">
        <w:rPr>
          <w:rFonts w:asciiTheme="minorHAnsi" w:hAnsiTheme="minorHAnsi" w:cs="Arial"/>
        </w:rPr>
        <w:t>,</w:t>
      </w:r>
      <w:r w:rsidRPr="00A11265">
        <w:rPr>
          <w:rFonts w:asciiTheme="minorHAnsi" w:hAnsiTheme="minorHAnsi" w:cs="Arial"/>
        </w:rPr>
        <w:t xml:space="preserve"> as defined</w:t>
      </w:r>
      <w:r w:rsidR="00BC7422">
        <w:rPr>
          <w:rFonts w:asciiTheme="minorHAnsi" w:hAnsiTheme="minorHAnsi" w:cs="Arial"/>
        </w:rPr>
        <w:t>,</w:t>
      </w:r>
      <w:r w:rsidRPr="00A11265">
        <w:rPr>
          <w:rFonts w:asciiTheme="minorHAnsi" w:hAnsiTheme="minorHAnsi" w:cs="Arial"/>
        </w:rPr>
        <w:t xml:space="preserve"> are not open to be provided by grid forming inverters, or other future technologies which are technically capable of providing such a service. This will become more important as inverter connected generation increases its presence on the system.</w:t>
      </w:r>
    </w:p>
    <w:p w14:paraId="3DC68EFE" w14:textId="3FE76441" w:rsidR="00DD142D" w:rsidRPr="00A11265" w:rsidRDefault="00A81067" w:rsidP="00D24B1D">
      <w:pPr>
        <w:pStyle w:val="Heading4"/>
      </w:pPr>
      <w:r w:rsidRPr="00A11265">
        <w:t>System strength</w:t>
      </w:r>
    </w:p>
    <w:p w14:paraId="2A0903D8" w14:textId="4341E8AE" w:rsidR="00DD142D" w:rsidRPr="00A11265" w:rsidRDefault="00DD142D" w:rsidP="00DD142D">
      <w:pPr>
        <w:rPr>
          <w:rFonts w:asciiTheme="minorHAnsi" w:hAnsiTheme="minorHAnsi" w:cs="Arial"/>
        </w:rPr>
      </w:pPr>
      <w:r w:rsidRPr="00A11265">
        <w:rPr>
          <w:rFonts w:asciiTheme="minorHAnsi" w:hAnsiTheme="minorHAnsi" w:cs="Arial"/>
        </w:rPr>
        <w:t>Currently there are no specified essential system services for system strength</w:t>
      </w:r>
      <w:r w:rsidR="00E51AFE" w:rsidRPr="00A11265">
        <w:rPr>
          <w:rFonts w:asciiTheme="minorHAnsi" w:hAnsiTheme="minorHAnsi" w:cs="Arial"/>
        </w:rPr>
        <w:t xml:space="preserve"> and this </w:t>
      </w:r>
      <w:r w:rsidRPr="00A11265">
        <w:rPr>
          <w:rFonts w:asciiTheme="minorHAnsi" w:hAnsiTheme="minorHAnsi" w:cs="Arial"/>
        </w:rPr>
        <w:t xml:space="preserve">may be a necessary requirement for future reliable operation of the power system. </w:t>
      </w:r>
      <w:r w:rsidR="00E51AFE" w:rsidRPr="00A11265">
        <w:rPr>
          <w:rFonts w:asciiTheme="minorHAnsi" w:hAnsiTheme="minorHAnsi" w:cs="Arial"/>
        </w:rPr>
        <w:t xml:space="preserve">An </w:t>
      </w:r>
      <w:r w:rsidRPr="00A11265">
        <w:rPr>
          <w:rFonts w:asciiTheme="minorHAnsi" w:hAnsiTheme="minorHAnsi" w:cs="Arial"/>
        </w:rPr>
        <w:t>essential system service may be required to manage adverse system strength impacts resulting from the retirement of synchronous generation rather than those effects directly attributable to the connection of new non-synchronous generation utilising grid following inverters. The essential system service would complement the system strength framework recently added to the NTC.</w:t>
      </w:r>
    </w:p>
    <w:p w14:paraId="01788754" w14:textId="574BBD82" w:rsidR="00CF0556" w:rsidRPr="00A11265" w:rsidRDefault="00CF0556" w:rsidP="00D9724C">
      <w:pPr>
        <w:pStyle w:val="Heading2"/>
        <w:keepNext/>
        <w:rPr>
          <w:lang w:eastAsia="en-AU"/>
        </w:rPr>
      </w:pPr>
      <w:bookmarkStart w:id="84" w:name="_Toc58786453"/>
      <w:bookmarkStart w:id="85" w:name="_Toc58786454"/>
      <w:bookmarkStart w:id="86" w:name="_Toc61956190"/>
      <w:bookmarkEnd w:id="84"/>
      <w:bookmarkEnd w:id="85"/>
      <w:r w:rsidRPr="00A11265">
        <w:rPr>
          <w:lang w:eastAsia="en-AU"/>
        </w:rPr>
        <w:t>Submissions</w:t>
      </w:r>
      <w:bookmarkEnd w:id="86"/>
    </w:p>
    <w:p w14:paraId="29EEFA79" w14:textId="7D17D0AD" w:rsidR="001735A8" w:rsidRPr="00A11265" w:rsidRDefault="001735A8" w:rsidP="00CB560D">
      <w:pPr>
        <w:rPr>
          <w:rFonts w:asciiTheme="minorHAnsi" w:hAnsiTheme="minorHAnsi" w:cs="Arial"/>
        </w:rPr>
      </w:pPr>
      <w:r w:rsidRPr="00A11265">
        <w:rPr>
          <w:rFonts w:asciiTheme="minorHAnsi" w:hAnsiTheme="minorHAnsi" w:cs="Arial"/>
        </w:rPr>
        <w:t>I</w:t>
      </w:r>
      <w:r w:rsidR="00876FD5" w:rsidRPr="00A11265">
        <w:rPr>
          <w:rFonts w:asciiTheme="minorHAnsi" w:hAnsiTheme="minorHAnsi" w:cs="Arial"/>
        </w:rPr>
        <w:t xml:space="preserve">n the </w:t>
      </w:r>
      <w:r w:rsidR="000458F9">
        <w:rPr>
          <w:rFonts w:asciiTheme="minorHAnsi" w:hAnsiTheme="minorHAnsi" w:cs="Arial"/>
        </w:rPr>
        <w:t>I</w:t>
      </w:r>
      <w:r w:rsidR="00876FD5" w:rsidRPr="00A11265">
        <w:rPr>
          <w:rFonts w:asciiTheme="minorHAnsi" w:hAnsiTheme="minorHAnsi" w:cs="Arial"/>
        </w:rPr>
        <w:t xml:space="preserve">ssues </w:t>
      </w:r>
      <w:r w:rsidR="000458F9">
        <w:rPr>
          <w:rFonts w:asciiTheme="minorHAnsi" w:hAnsiTheme="minorHAnsi" w:cs="Arial"/>
        </w:rPr>
        <w:t>P</w:t>
      </w:r>
      <w:r w:rsidR="00876FD5" w:rsidRPr="00A11265">
        <w:rPr>
          <w:rFonts w:asciiTheme="minorHAnsi" w:hAnsiTheme="minorHAnsi" w:cs="Arial"/>
        </w:rPr>
        <w:t>aper, the Design</w:t>
      </w:r>
      <w:r w:rsidRPr="00A11265">
        <w:rPr>
          <w:rFonts w:asciiTheme="minorHAnsi" w:hAnsiTheme="minorHAnsi" w:cs="Arial"/>
        </w:rPr>
        <w:t xml:space="preserve"> Development Team s</w:t>
      </w:r>
      <w:r w:rsidR="00B93D14" w:rsidRPr="00A11265">
        <w:rPr>
          <w:rFonts w:asciiTheme="minorHAnsi" w:hAnsiTheme="minorHAnsi" w:cs="Arial"/>
        </w:rPr>
        <w:t>ought feedback on</w:t>
      </w:r>
      <w:r w:rsidRPr="00A11265">
        <w:rPr>
          <w:rFonts w:asciiTheme="minorHAnsi" w:hAnsiTheme="minorHAnsi" w:cs="Arial"/>
        </w:rPr>
        <w:t xml:space="preserve"> appropriate</w:t>
      </w:r>
      <w:r w:rsidR="00B93D14" w:rsidRPr="00A11265">
        <w:rPr>
          <w:rFonts w:asciiTheme="minorHAnsi" w:hAnsiTheme="minorHAnsi" w:cs="Arial"/>
        </w:rPr>
        <w:t xml:space="preserve"> </w:t>
      </w:r>
      <w:r w:rsidRPr="00A11265">
        <w:rPr>
          <w:rFonts w:asciiTheme="minorHAnsi" w:hAnsiTheme="minorHAnsi" w:cs="Arial"/>
        </w:rPr>
        <w:t>categories</w:t>
      </w:r>
      <w:r w:rsidR="00B93D14" w:rsidRPr="00A11265">
        <w:rPr>
          <w:rFonts w:asciiTheme="minorHAnsi" w:hAnsiTheme="minorHAnsi" w:cs="Arial"/>
        </w:rPr>
        <w:t xml:space="preserve"> and definitions of essential system services </w:t>
      </w:r>
      <w:r w:rsidR="006D4753" w:rsidRPr="00A11265">
        <w:rPr>
          <w:rFonts w:asciiTheme="minorHAnsi" w:hAnsiTheme="minorHAnsi" w:cs="Arial"/>
        </w:rPr>
        <w:t xml:space="preserve">for the NT’s regulated systems </w:t>
      </w:r>
      <w:r w:rsidR="00B93D14" w:rsidRPr="00A11265">
        <w:rPr>
          <w:rFonts w:asciiTheme="minorHAnsi" w:hAnsiTheme="minorHAnsi" w:cs="Arial"/>
        </w:rPr>
        <w:t>and</w:t>
      </w:r>
      <w:r w:rsidR="006D4753" w:rsidRPr="00A11265">
        <w:rPr>
          <w:rFonts w:asciiTheme="minorHAnsi" w:hAnsiTheme="minorHAnsi" w:cs="Arial"/>
        </w:rPr>
        <w:t xml:space="preserve"> arrangements for their</w:t>
      </w:r>
      <w:r w:rsidRPr="00A11265">
        <w:rPr>
          <w:rFonts w:asciiTheme="minorHAnsi" w:hAnsiTheme="minorHAnsi" w:cs="Arial"/>
        </w:rPr>
        <w:t xml:space="preserve"> governance.</w:t>
      </w:r>
    </w:p>
    <w:p w14:paraId="23ACF5F1" w14:textId="1B8F89F2" w:rsidR="00117CAB" w:rsidRPr="00A11265" w:rsidRDefault="00117CAB" w:rsidP="0035005A">
      <w:pPr>
        <w:pStyle w:val="Heading3"/>
        <w:rPr>
          <w:szCs w:val="24"/>
          <w:lang w:eastAsia="en-AU"/>
        </w:rPr>
      </w:pPr>
      <w:r w:rsidRPr="00A11265">
        <w:rPr>
          <w:szCs w:val="24"/>
          <w:lang w:eastAsia="en-AU"/>
        </w:rPr>
        <w:t>Service</w:t>
      </w:r>
      <w:r w:rsidR="006D4753" w:rsidRPr="00A11265">
        <w:rPr>
          <w:szCs w:val="24"/>
          <w:lang w:eastAsia="en-AU"/>
        </w:rPr>
        <w:t xml:space="preserve"> types and</w:t>
      </w:r>
      <w:r w:rsidRPr="00A11265">
        <w:rPr>
          <w:szCs w:val="24"/>
          <w:lang w:eastAsia="en-AU"/>
        </w:rPr>
        <w:t xml:space="preserve"> </w:t>
      </w:r>
      <w:r w:rsidR="00653609" w:rsidRPr="00A11265">
        <w:rPr>
          <w:szCs w:val="24"/>
          <w:lang w:eastAsia="en-AU"/>
        </w:rPr>
        <w:t>definitions</w:t>
      </w:r>
    </w:p>
    <w:p w14:paraId="2F0ADE6E" w14:textId="6B1BD531" w:rsidR="00117CAB" w:rsidRPr="00A11265" w:rsidRDefault="002F606F" w:rsidP="00CB560D">
      <w:pPr>
        <w:rPr>
          <w:rFonts w:asciiTheme="minorHAnsi" w:hAnsiTheme="minorHAnsi" w:cs="Arial"/>
        </w:rPr>
      </w:pPr>
      <w:r w:rsidRPr="00A11265">
        <w:rPr>
          <w:rFonts w:asciiTheme="minorHAnsi" w:hAnsiTheme="minorHAnsi" w:cs="Arial"/>
        </w:rPr>
        <w:t>Few stakeholders s</w:t>
      </w:r>
      <w:r w:rsidR="005425F1" w:rsidRPr="00A11265">
        <w:rPr>
          <w:rFonts w:asciiTheme="minorHAnsi" w:hAnsiTheme="minorHAnsi" w:cs="Arial"/>
        </w:rPr>
        <w:t>uggested specific service</w:t>
      </w:r>
      <w:r w:rsidR="006D4753" w:rsidRPr="00A11265">
        <w:rPr>
          <w:rFonts w:asciiTheme="minorHAnsi" w:hAnsiTheme="minorHAnsi" w:cs="Arial"/>
        </w:rPr>
        <w:t xml:space="preserve"> types and</w:t>
      </w:r>
      <w:r w:rsidR="005425F1" w:rsidRPr="00A11265">
        <w:rPr>
          <w:rFonts w:asciiTheme="minorHAnsi" w:hAnsiTheme="minorHAnsi" w:cs="Arial"/>
        </w:rPr>
        <w:t xml:space="preserve"> definitions</w:t>
      </w:r>
      <w:r w:rsidR="00117CAB" w:rsidRPr="00A11265">
        <w:rPr>
          <w:rFonts w:asciiTheme="minorHAnsi" w:hAnsiTheme="minorHAnsi" w:cs="Arial"/>
        </w:rPr>
        <w:t xml:space="preserve">. </w:t>
      </w:r>
      <w:r w:rsidRPr="00A11265">
        <w:rPr>
          <w:rFonts w:asciiTheme="minorHAnsi" w:hAnsiTheme="minorHAnsi" w:cs="Arial"/>
        </w:rPr>
        <w:t xml:space="preserve">T-Gen </w:t>
      </w:r>
      <w:r w:rsidR="00117CAB" w:rsidRPr="00A11265">
        <w:rPr>
          <w:rFonts w:asciiTheme="minorHAnsi" w:hAnsiTheme="minorHAnsi" w:cs="Arial"/>
        </w:rPr>
        <w:t xml:space="preserve">suggested </w:t>
      </w:r>
      <w:r w:rsidRPr="00A11265">
        <w:rPr>
          <w:rFonts w:asciiTheme="minorHAnsi" w:hAnsiTheme="minorHAnsi" w:cs="Arial"/>
        </w:rPr>
        <w:t xml:space="preserve">that </w:t>
      </w:r>
      <w:r w:rsidR="00901D6D">
        <w:rPr>
          <w:rFonts w:asciiTheme="minorHAnsi" w:hAnsiTheme="minorHAnsi" w:cs="Arial"/>
        </w:rPr>
        <w:t xml:space="preserve">the </w:t>
      </w:r>
      <w:r w:rsidRPr="00A11265">
        <w:rPr>
          <w:rFonts w:asciiTheme="minorHAnsi" w:hAnsiTheme="minorHAnsi" w:cs="Arial"/>
        </w:rPr>
        <w:t xml:space="preserve">three services </w:t>
      </w:r>
      <w:r w:rsidR="00117CAB" w:rsidRPr="00A11265">
        <w:rPr>
          <w:rFonts w:asciiTheme="minorHAnsi" w:hAnsiTheme="minorHAnsi" w:cs="Arial"/>
        </w:rPr>
        <w:t>it currently provides</w:t>
      </w:r>
      <w:r w:rsidRPr="00A11265">
        <w:rPr>
          <w:rFonts w:asciiTheme="minorHAnsi" w:hAnsiTheme="minorHAnsi" w:cs="Arial"/>
        </w:rPr>
        <w:t>, being capacity, network support and gener</w:t>
      </w:r>
      <w:r w:rsidR="005F0C7C" w:rsidRPr="00A11265">
        <w:rPr>
          <w:rFonts w:asciiTheme="minorHAnsi" w:hAnsiTheme="minorHAnsi" w:cs="Arial"/>
        </w:rPr>
        <w:t>ation testing support</w:t>
      </w:r>
      <w:r w:rsidR="00117CAB" w:rsidRPr="00A11265">
        <w:rPr>
          <w:rFonts w:asciiTheme="minorHAnsi" w:hAnsiTheme="minorHAnsi" w:cs="Arial"/>
        </w:rPr>
        <w:t>, were not identified in the Issues Paper.</w:t>
      </w:r>
    </w:p>
    <w:p w14:paraId="59C60FB5" w14:textId="0E294F2A" w:rsidR="00457258" w:rsidRPr="00A11265" w:rsidRDefault="00457258" w:rsidP="00457258">
      <w:pPr>
        <w:rPr>
          <w:rFonts w:asciiTheme="minorHAnsi" w:hAnsiTheme="minorHAnsi" w:cs="Arial"/>
        </w:rPr>
      </w:pPr>
      <w:r w:rsidRPr="00A11265">
        <w:rPr>
          <w:rFonts w:asciiTheme="minorHAnsi" w:hAnsiTheme="minorHAnsi" w:cs="Arial"/>
        </w:rPr>
        <w:t>Jacana also identified a need for responsibility of network support services to be clarified, stating:</w:t>
      </w:r>
    </w:p>
    <w:p w14:paraId="1E5588FE" w14:textId="2201D5D1" w:rsidR="00457258" w:rsidRPr="00A11265" w:rsidRDefault="00457258" w:rsidP="00457258">
      <w:pPr>
        <w:ind w:left="567" w:right="567"/>
        <w:rPr>
          <w:rFonts w:asciiTheme="minorHAnsi" w:hAnsiTheme="minorHAnsi" w:cs="Arial"/>
          <w:i/>
        </w:rPr>
      </w:pPr>
      <w:r w:rsidRPr="00A11265">
        <w:rPr>
          <w:rFonts w:asciiTheme="minorHAnsi" w:hAnsiTheme="minorHAnsi" w:cs="Arial"/>
          <w:i/>
        </w:rPr>
        <w:t xml:space="preserve">As part of this definition process, the role of network support services and the responsibility for their provision needs to be clearly defined. Jacana Energy has previously highlighted the fact that the Katherine Power Station, operated by Territory Generation, currently provides network support services. Consequently, costs associated with this station are currently paid for directly by customers through retail energy prices (which reflect wholesale energy purchase costs), rather than the network </w:t>
      </w:r>
      <w:r w:rsidRPr="00A11265">
        <w:rPr>
          <w:rFonts w:asciiTheme="minorHAnsi" w:hAnsiTheme="minorHAnsi" w:cs="Arial"/>
          <w:i/>
        </w:rPr>
        <w:lastRenderedPageBreak/>
        <w:t>operator recovering these costs via the regulated asset base and associated network access charges. Under the current arrangements, there is no incentive for the network operator to consider how the costs of providing network support services could be reduced.</w:t>
      </w:r>
      <w:r w:rsidR="001847A1">
        <w:rPr>
          <w:rStyle w:val="FootnoteReference"/>
          <w:rFonts w:asciiTheme="minorHAnsi" w:hAnsiTheme="minorHAnsi" w:cs="Arial"/>
          <w:i/>
        </w:rPr>
        <w:footnoteReference w:id="12"/>
      </w:r>
    </w:p>
    <w:p w14:paraId="28D227C6" w14:textId="15AD69DF" w:rsidR="000E20BB" w:rsidRPr="00A11265" w:rsidRDefault="00117CAB" w:rsidP="0035005A">
      <w:pPr>
        <w:rPr>
          <w:rFonts w:asciiTheme="minorHAnsi" w:hAnsiTheme="minorHAnsi" w:cs="Arial"/>
        </w:rPr>
      </w:pPr>
      <w:proofErr w:type="spellStart"/>
      <w:r w:rsidRPr="00A11265">
        <w:rPr>
          <w:rFonts w:asciiTheme="minorHAnsi" w:hAnsiTheme="minorHAnsi" w:cs="Arial"/>
        </w:rPr>
        <w:t>Epuron</w:t>
      </w:r>
      <w:proofErr w:type="spellEnd"/>
      <w:r w:rsidRPr="00A11265">
        <w:rPr>
          <w:rFonts w:asciiTheme="minorHAnsi" w:hAnsiTheme="minorHAnsi" w:cs="Arial"/>
        </w:rPr>
        <w:t xml:space="preserve"> suggested that essential system services categories be classified as R-FCAS, C-FCAS </w:t>
      </w:r>
      <w:r w:rsidR="006D4753" w:rsidRPr="00A11265">
        <w:rPr>
          <w:rFonts w:asciiTheme="minorHAnsi" w:hAnsiTheme="minorHAnsi" w:cs="Arial"/>
        </w:rPr>
        <w:t>r</w:t>
      </w:r>
      <w:r w:rsidRPr="00A11265">
        <w:rPr>
          <w:rFonts w:asciiTheme="minorHAnsi" w:hAnsiTheme="minorHAnsi" w:cs="Arial"/>
        </w:rPr>
        <w:t>aise and C</w:t>
      </w:r>
      <w:r w:rsidR="006D4753" w:rsidRPr="00A11265">
        <w:rPr>
          <w:rFonts w:asciiTheme="minorHAnsi" w:hAnsiTheme="minorHAnsi" w:cs="Arial"/>
        </w:rPr>
        <w:noBreakHyphen/>
      </w:r>
      <w:r w:rsidRPr="00A11265">
        <w:rPr>
          <w:rFonts w:asciiTheme="minorHAnsi" w:hAnsiTheme="minorHAnsi" w:cs="Arial"/>
        </w:rPr>
        <w:t xml:space="preserve">FCAS </w:t>
      </w:r>
      <w:r w:rsidR="006D4753" w:rsidRPr="00A11265">
        <w:rPr>
          <w:rFonts w:asciiTheme="minorHAnsi" w:hAnsiTheme="minorHAnsi" w:cs="Arial"/>
        </w:rPr>
        <w:t>l</w:t>
      </w:r>
      <w:r w:rsidRPr="00A11265">
        <w:rPr>
          <w:rFonts w:asciiTheme="minorHAnsi" w:hAnsiTheme="minorHAnsi" w:cs="Arial"/>
        </w:rPr>
        <w:t>ower, and noted that</w:t>
      </w:r>
      <w:r w:rsidR="00901D6D">
        <w:rPr>
          <w:rFonts w:asciiTheme="minorHAnsi" w:hAnsiTheme="minorHAnsi" w:cs="Arial"/>
        </w:rPr>
        <w:t>,</w:t>
      </w:r>
      <w:r w:rsidRPr="00A11265">
        <w:rPr>
          <w:rFonts w:asciiTheme="minorHAnsi" w:hAnsiTheme="minorHAnsi" w:cs="Arial"/>
        </w:rPr>
        <w:t xml:space="preserve"> </w:t>
      </w:r>
      <w:r w:rsidR="00D453FB" w:rsidRPr="00A11265">
        <w:rPr>
          <w:rFonts w:asciiTheme="minorHAnsi" w:hAnsiTheme="minorHAnsi" w:cs="Arial"/>
        </w:rPr>
        <w:t>although the NEM essential system service types include</w:t>
      </w:r>
      <w:r w:rsidR="00457258" w:rsidRPr="00A11265">
        <w:rPr>
          <w:rFonts w:asciiTheme="minorHAnsi" w:hAnsiTheme="minorHAnsi" w:cs="Arial"/>
        </w:rPr>
        <w:t xml:space="preserve"> </w:t>
      </w:r>
      <w:r w:rsidR="00D453FB" w:rsidRPr="00A11265">
        <w:rPr>
          <w:rFonts w:asciiTheme="minorHAnsi" w:hAnsiTheme="minorHAnsi" w:cs="Arial"/>
        </w:rPr>
        <w:t>different time periods for each FCAS,</w:t>
      </w:r>
      <w:r w:rsidR="006D4753" w:rsidRPr="00A11265">
        <w:rPr>
          <w:rFonts w:asciiTheme="minorHAnsi" w:hAnsiTheme="minorHAnsi" w:cs="Arial"/>
        </w:rPr>
        <w:t xml:space="preserve"> a</w:t>
      </w:r>
      <w:r w:rsidR="00D453FB" w:rsidRPr="00A11265">
        <w:rPr>
          <w:rFonts w:asciiTheme="minorHAnsi" w:hAnsiTheme="minorHAnsi" w:cs="Arial"/>
        </w:rPr>
        <w:t xml:space="preserve"> ‘</w:t>
      </w:r>
      <w:r w:rsidR="000E20BB" w:rsidRPr="00A11265">
        <w:rPr>
          <w:rFonts w:asciiTheme="minorHAnsi" w:hAnsiTheme="minorHAnsi" w:cs="Arial"/>
          <w:i/>
        </w:rPr>
        <w:t>simpler version of this without the time periods could be more effective due to the smaller market and the likelihood that the majority of ESS will be from a few providers. This would then require minimum C-FCAS response times which is appropriate</w:t>
      </w:r>
      <w:r w:rsidR="00D453FB" w:rsidRPr="00A11265">
        <w:rPr>
          <w:rFonts w:asciiTheme="minorHAnsi" w:hAnsiTheme="minorHAnsi" w:cs="Arial"/>
          <w:i/>
        </w:rPr>
        <w:t>’</w:t>
      </w:r>
      <w:r w:rsidR="000E20BB" w:rsidRPr="00A11265">
        <w:rPr>
          <w:rFonts w:asciiTheme="minorHAnsi" w:hAnsiTheme="minorHAnsi" w:cs="Arial"/>
          <w:i/>
        </w:rPr>
        <w:t>.</w:t>
      </w:r>
      <w:r w:rsidR="000E20BB" w:rsidRPr="00A11265">
        <w:rPr>
          <w:rStyle w:val="FootnoteReference"/>
          <w:rFonts w:asciiTheme="minorHAnsi" w:hAnsiTheme="minorHAnsi" w:cs="Arial"/>
          <w:i/>
        </w:rPr>
        <w:footnoteReference w:id="13"/>
      </w:r>
    </w:p>
    <w:p w14:paraId="521C1297" w14:textId="6A18CC43" w:rsidR="003B69DA" w:rsidRPr="00A11265" w:rsidRDefault="00D453FB" w:rsidP="002E15F8">
      <w:pPr>
        <w:rPr>
          <w:lang w:eastAsia="en-AU"/>
        </w:rPr>
      </w:pPr>
      <w:r w:rsidRPr="00A11265">
        <w:rPr>
          <w:lang w:eastAsia="en-AU"/>
        </w:rPr>
        <w:t>There was general agreement</w:t>
      </w:r>
      <w:r w:rsidR="005425F1" w:rsidRPr="00A11265">
        <w:rPr>
          <w:lang w:eastAsia="en-AU"/>
        </w:rPr>
        <w:t xml:space="preserve"> by stakeholders</w:t>
      </w:r>
      <w:r w:rsidRPr="00A11265">
        <w:rPr>
          <w:lang w:eastAsia="en-AU"/>
        </w:rPr>
        <w:t xml:space="preserve"> (T-Gen, </w:t>
      </w:r>
      <w:proofErr w:type="spellStart"/>
      <w:r w:rsidRPr="00A11265">
        <w:rPr>
          <w:lang w:eastAsia="en-AU"/>
        </w:rPr>
        <w:t>Epuron</w:t>
      </w:r>
      <w:proofErr w:type="spellEnd"/>
      <w:r w:rsidRPr="00A11265">
        <w:rPr>
          <w:lang w:eastAsia="en-AU"/>
        </w:rPr>
        <w:t xml:space="preserve">, </w:t>
      </w:r>
      <w:proofErr w:type="gramStart"/>
      <w:r w:rsidRPr="00A11265">
        <w:rPr>
          <w:lang w:eastAsia="en-AU"/>
        </w:rPr>
        <w:t>Sun</w:t>
      </w:r>
      <w:proofErr w:type="gramEnd"/>
      <w:r w:rsidRPr="00A11265">
        <w:rPr>
          <w:lang w:eastAsia="en-AU"/>
        </w:rPr>
        <w:t xml:space="preserve"> Cable) that, despite differences in system size, a common set of service types and definitions should apply across the NT regulated systems. </w:t>
      </w:r>
      <w:r w:rsidR="009C0C71" w:rsidRPr="00A11265">
        <w:rPr>
          <w:lang w:eastAsia="en-AU"/>
        </w:rPr>
        <w:t>T-Gen commented that this was ‘</w:t>
      </w:r>
      <w:r w:rsidR="009C0C71" w:rsidRPr="00A11265">
        <w:rPr>
          <w:i/>
          <w:lang w:eastAsia="en-AU"/>
        </w:rPr>
        <w:t>with the exception that specific Network Support Services will apply for each power system</w:t>
      </w:r>
      <w:r w:rsidR="009C0C71" w:rsidRPr="00A11265">
        <w:rPr>
          <w:lang w:eastAsia="en-AU"/>
        </w:rPr>
        <w:t>’.</w:t>
      </w:r>
      <w:r w:rsidR="009C0C71" w:rsidRPr="00A11265">
        <w:rPr>
          <w:rStyle w:val="FootnoteReference"/>
          <w:lang w:eastAsia="en-AU"/>
        </w:rPr>
        <w:footnoteReference w:id="14"/>
      </w:r>
      <w:r w:rsidR="009C0C71" w:rsidRPr="00A11265">
        <w:rPr>
          <w:lang w:eastAsia="en-AU"/>
        </w:rPr>
        <w:t xml:space="preserve"> </w:t>
      </w:r>
    </w:p>
    <w:p w14:paraId="3309E7DE" w14:textId="62F01E5F" w:rsidR="00B93D14" w:rsidRPr="00A11265" w:rsidRDefault="00B93D14" w:rsidP="00D9724C">
      <w:pPr>
        <w:pStyle w:val="Heading3"/>
        <w:rPr>
          <w:szCs w:val="24"/>
          <w:lang w:eastAsia="en-AU"/>
        </w:rPr>
      </w:pPr>
      <w:r w:rsidRPr="00A11265">
        <w:rPr>
          <w:szCs w:val="24"/>
          <w:lang w:eastAsia="en-AU"/>
        </w:rPr>
        <w:t>Governance</w:t>
      </w:r>
    </w:p>
    <w:p w14:paraId="75670630" w14:textId="1326023A" w:rsidR="009C0C71" w:rsidRPr="00A11265" w:rsidRDefault="009C0C71" w:rsidP="00D24B1D">
      <w:pPr>
        <w:pStyle w:val="Heading4"/>
      </w:pPr>
      <w:r w:rsidRPr="00A11265">
        <w:t>R</w:t>
      </w:r>
      <w:r w:rsidR="00DE3019" w:rsidRPr="00A11265">
        <w:t>esponsibility for detailed</w:t>
      </w:r>
      <w:r w:rsidRPr="00A11265">
        <w:t xml:space="preserve"> definitions/specifications</w:t>
      </w:r>
    </w:p>
    <w:p w14:paraId="3F021D3D" w14:textId="43865F2E" w:rsidR="00DD2388" w:rsidRPr="00A11265" w:rsidRDefault="00457258" w:rsidP="00D9724C">
      <w:pPr>
        <w:rPr>
          <w:lang w:eastAsia="en-AU"/>
        </w:rPr>
      </w:pPr>
      <w:r w:rsidRPr="00A11265">
        <w:rPr>
          <w:lang w:eastAsia="en-AU"/>
        </w:rPr>
        <w:t>Some</w:t>
      </w:r>
      <w:r w:rsidR="005425F1" w:rsidRPr="00A11265">
        <w:rPr>
          <w:lang w:eastAsia="en-AU"/>
        </w:rPr>
        <w:t xml:space="preserve"> </w:t>
      </w:r>
      <w:r w:rsidR="00317B0C" w:rsidRPr="00A11265">
        <w:rPr>
          <w:lang w:eastAsia="en-AU"/>
        </w:rPr>
        <w:t>stakeholders</w:t>
      </w:r>
      <w:r w:rsidR="00DD2388" w:rsidRPr="00A11265">
        <w:rPr>
          <w:lang w:eastAsia="en-AU"/>
        </w:rPr>
        <w:t xml:space="preserve"> (</w:t>
      </w:r>
      <w:proofErr w:type="spellStart"/>
      <w:r w:rsidR="00DD2388" w:rsidRPr="00A11265">
        <w:rPr>
          <w:lang w:eastAsia="en-AU"/>
        </w:rPr>
        <w:t>Epuron</w:t>
      </w:r>
      <w:proofErr w:type="spellEnd"/>
      <w:r w:rsidR="00DD2388" w:rsidRPr="00A11265">
        <w:rPr>
          <w:lang w:eastAsia="en-AU"/>
        </w:rPr>
        <w:t>,</w:t>
      </w:r>
      <w:r w:rsidRPr="00A11265">
        <w:rPr>
          <w:lang w:eastAsia="en-AU"/>
        </w:rPr>
        <w:t xml:space="preserve"> Jacana</w:t>
      </w:r>
      <w:r w:rsidR="00DD2388" w:rsidRPr="00A11265">
        <w:rPr>
          <w:lang w:eastAsia="en-AU"/>
        </w:rPr>
        <w:t>)</w:t>
      </w:r>
      <w:r w:rsidRPr="00A11265">
        <w:rPr>
          <w:lang w:eastAsia="en-AU"/>
        </w:rPr>
        <w:t xml:space="preserve"> considered</w:t>
      </w:r>
      <w:r w:rsidR="009C0C71" w:rsidRPr="00A11265">
        <w:rPr>
          <w:lang w:eastAsia="en-AU"/>
        </w:rPr>
        <w:t xml:space="preserve"> that the System Controller should be responsible for developing det</w:t>
      </w:r>
      <w:r w:rsidR="00D538C1" w:rsidRPr="00A11265">
        <w:rPr>
          <w:lang w:eastAsia="en-AU"/>
        </w:rPr>
        <w:t>ailed</w:t>
      </w:r>
      <w:r w:rsidR="009C0C71" w:rsidRPr="00A11265">
        <w:rPr>
          <w:lang w:eastAsia="en-AU"/>
        </w:rPr>
        <w:t xml:space="preserve"> definitions</w:t>
      </w:r>
      <w:r w:rsidR="00704921" w:rsidRPr="00A11265">
        <w:rPr>
          <w:lang w:eastAsia="en-AU"/>
        </w:rPr>
        <w:t>/specification</w:t>
      </w:r>
      <w:r w:rsidR="009C0C71" w:rsidRPr="00A11265">
        <w:rPr>
          <w:lang w:eastAsia="en-AU"/>
        </w:rPr>
        <w:t xml:space="preserve"> of essential</w:t>
      </w:r>
      <w:r w:rsidR="00DD2388" w:rsidRPr="00A11265">
        <w:rPr>
          <w:lang w:eastAsia="en-AU"/>
        </w:rPr>
        <w:t xml:space="preserve"> system services; but there was</w:t>
      </w:r>
      <w:r w:rsidR="009C0C71" w:rsidRPr="00A11265">
        <w:rPr>
          <w:lang w:eastAsia="en-AU"/>
        </w:rPr>
        <w:t xml:space="preserve"> a need for independent oversight</w:t>
      </w:r>
      <w:r w:rsidRPr="00A11265">
        <w:rPr>
          <w:lang w:eastAsia="en-AU"/>
        </w:rPr>
        <w:t xml:space="preserve"> or specification</w:t>
      </w:r>
      <w:r w:rsidR="00B46509" w:rsidRPr="00A11265">
        <w:rPr>
          <w:lang w:eastAsia="en-AU"/>
        </w:rPr>
        <w:t>.</w:t>
      </w:r>
      <w:r w:rsidRPr="00A11265">
        <w:rPr>
          <w:lang w:eastAsia="en-AU"/>
        </w:rPr>
        <w:t xml:space="preserve"> However, T-Gen indicated </w:t>
      </w:r>
      <w:r w:rsidR="00B46509" w:rsidRPr="00A11265">
        <w:rPr>
          <w:lang w:eastAsia="en-AU"/>
        </w:rPr>
        <w:t>that the common ownership of the System Controller and Network Operator warranted the Utilities Commission to be responsible for the development of essential system services definitions to provide confidence of independence for all stakeholders.</w:t>
      </w:r>
    </w:p>
    <w:p w14:paraId="719CC9A8" w14:textId="6D46AB09" w:rsidR="0062248C" w:rsidRPr="00A11265" w:rsidRDefault="00B46509" w:rsidP="00D9724C">
      <w:pPr>
        <w:rPr>
          <w:rFonts w:asciiTheme="minorHAnsi" w:hAnsiTheme="minorHAnsi" w:cs="Arial"/>
          <w:i/>
        </w:rPr>
      </w:pPr>
      <w:r w:rsidRPr="00A11265">
        <w:rPr>
          <w:lang w:eastAsia="en-AU"/>
        </w:rPr>
        <w:t>Eni Australia, identified that broader reform, such as the establishment of an independent market operator, was warranted</w:t>
      </w:r>
      <w:r w:rsidR="00704921" w:rsidRPr="00A11265">
        <w:rPr>
          <w:lang w:eastAsia="en-AU"/>
        </w:rPr>
        <w:t>,</w:t>
      </w:r>
      <w:r w:rsidRPr="00A11265">
        <w:rPr>
          <w:lang w:eastAsia="en-AU"/>
        </w:rPr>
        <w:t xml:space="preserve"> and identified a requirement for a well-resourced overseer of essential system services definitions, stating:</w:t>
      </w:r>
    </w:p>
    <w:p w14:paraId="26F12041" w14:textId="504E5400" w:rsidR="0062248C" w:rsidRPr="00A11265" w:rsidRDefault="0062248C" w:rsidP="0062248C">
      <w:pPr>
        <w:ind w:left="567" w:right="567"/>
        <w:rPr>
          <w:rFonts w:asciiTheme="minorHAnsi" w:hAnsiTheme="minorHAnsi" w:cs="Arial"/>
          <w:i/>
        </w:rPr>
      </w:pPr>
      <w:r w:rsidRPr="00A11265">
        <w:rPr>
          <w:rFonts w:asciiTheme="minorHAnsi" w:hAnsiTheme="minorHAnsi" w:cs="Arial"/>
          <w:i/>
        </w:rPr>
        <w:t>At the very least, this situation demands a strong degree of regulatory oversight from the Utilities Commission (UC), which needs to have sufficient technical resources of its own to provide effective regulation of the electricity industry. If this can’t be achieved, alternative regulators like the Australian Energy Regulator (AER) should be considered instead, who have the necessary technical and ec</w:t>
      </w:r>
      <w:r w:rsidR="00DD2388" w:rsidRPr="00A11265">
        <w:rPr>
          <w:rFonts w:asciiTheme="minorHAnsi" w:hAnsiTheme="minorHAnsi" w:cs="Arial"/>
          <w:i/>
        </w:rPr>
        <w:t xml:space="preserve">onomic resources for the task. </w:t>
      </w:r>
      <w:r w:rsidRPr="00A11265">
        <w:rPr>
          <w:rFonts w:asciiTheme="minorHAnsi" w:hAnsiTheme="minorHAnsi" w:cs="Arial"/>
          <w:i/>
        </w:rPr>
        <w:t>EAL notes that the AER has already taken over the economic regulation of the power transmission and distribution network owned by Power and Water Corporation (PWC).</w:t>
      </w:r>
      <w:r w:rsidRPr="00A11265">
        <w:rPr>
          <w:rStyle w:val="FootnoteReference"/>
          <w:rFonts w:asciiTheme="minorHAnsi" w:hAnsiTheme="minorHAnsi" w:cs="Arial"/>
          <w:i/>
        </w:rPr>
        <w:footnoteReference w:id="15"/>
      </w:r>
    </w:p>
    <w:p w14:paraId="3EDE6A25" w14:textId="77777777" w:rsidR="00CC51E9" w:rsidRPr="00A11265" w:rsidRDefault="00CC51E9" w:rsidP="00D24B1D">
      <w:pPr>
        <w:pStyle w:val="Heading4"/>
      </w:pPr>
      <w:r w:rsidRPr="00A11265">
        <w:t>Flexibility to procure other types of essential system services</w:t>
      </w:r>
    </w:p>
    <w:p w14:paraId="10131987" w14:textId="14FE321E" w:rsidR="007C60FE" w:rsidRPr="00A11265" w:rsidRDefault="00704921" w:rsidP="002E15F8">
      <w:pPr>
        <w:rPr>
          <w:lang w:eastAsia="en-AU"/>
        </w:rPr>
      </w:pPr>
      <w:r w:rsidRPr="00A11265">
        <w:rPr>
          <w:lang w:eastAsia="en-AU"/>
        </w:rPr>
        <w:t>Stakeholders</w:t>
      </w:r>
      <w:r w:rsidR="001C69E5" w:rsidRPr="00A11265">
        <w:rPr>
          <w:lang w:eastAsia="en-AU"/>
        </w:rPr>
        <w:t xml:space="preserve"> (T-Gen, </w:t>
      </w:r>
      <w:proofErr w:type="spellStart"/>
      <w:r w:rsidR="001C69E5" w:rsidRPr="00A11265">
        <w:rPr>
          <w:lang w:eastAsia="en-AU"/>
        </w:rPr>
        <w:t>Epuron</w:t>
      </w:r>
      <w:proofErr w:type="spellEnd"/>
      <w:r w:rsidR="001C69E5" w:rsidRPr="00A11265">
        <w:rPr>
          <w:lang w:eastAsia="en-AU"/>
        </w:rPr>
        <w:t xml:space="preserve">, Jacana, </w:t>
      </w:r>
      <w:proofErr w:type="gramStart"/>
      <w:r w:rsidR="001C69E5" w:rsidRPr="00A11265">
        <w:rPr>
          <w:lang w:eastAsia="en-AU"/>
        </w:rPr>
        <w:t>Sun</w:t>
      </w:r>
      <w:proofErr w:type="gramEnd"/>
      <w:r w:rsidR="001C69E5" w:rsidRPr="00A11265">
        <w:rPr>
          <w:lang w:eastAsia="en-AU"/>
        </w:rPr>
        <w:t xml:space="preserve"> Cable) considered </w:t>
      </w:r>
      <w:r w:rsidR="007C60FE" w:rsidRPr="00A11265">
        <w:rPr>
          <w:lang w:eastAsia="en-AU"/>
        </w:rPr>
        <w:t xml:space="preserve">that the pace of technological change in the NT regulated systems warranted </w:t>
      </w:r>
      <w:r w:rsidR="001C69E5" w:rsidRPr="00A11265">
        <w:rPr>
          <w:lang w:eastAsia="en-AU"/>
        </w:rPr>
        <w:t xml:space="preserve">some flexibility for the System Controller to procure additional undefined essential system services if required, but </w:t>
      </w:r>
      <w:r w:rsidR="007C60FE" w:rsidRPr="00A11265">
        <w:rPr>
          <w:lang w:eastAsia="en-AU"/>
        </w:rPr>
        <w:t>considered this needed to be subject to checks and balances.</w:t>
      </w:r>
      <w:r w:rsidR="001C69E5" w:rsidRPr="00A11265">
        <w:rPr>
          <w:lang w:eastAsia="en-AU"/>
        </w:rPr>
        <w:t xml:space="preserve"> </w:t>
      </w:r>
    </w:p>
    <w:p w14:paraId="7B596C9F" w14:textId="61E33AFB" w:rsidR="009C0C71" w:rsidRPr="00A11265" w:rsidRDefault="001C69E5" w:rsidP="002E15F8">
      <w:pPr>
        <w:rPr>
          <w:lang w:eastAsia="en-AU"/>
        </w:rPr>
      </w:pPr>
      <w:r w:rsidRPr="00A11265">
        <w:rPr>
          <w:lang w:eastAsia="en-AU"/>
        </w:rPr>
        <w:t>T-Gen considered that the governance arrangements for a catch-all essential system services provision should include:</w:t>
      </w:r>
    </w:p>
    <w:p w14:paraId="1BA04307" w14:textId="77777777" w:rsidR="00CC51E9" w:rsidRPr="00A11265" w:rsidRDefault="00CC51E9" w:rsidP="00E02062">
      <w:pPr>
        <w:pStyle w:val="ListParagraph"/>
        <w:numPr>
          <w:ilvl w:val="0"/>
          <w:numId w:val="16"/>
        </w:numPr>
        <w:ind w:right="567"/>
        <w:rPr>
          <w:i/>
          <w:lang w:eastAsia="en-AU"/>
        </w:rPr>
      </w:pPr>
      <w:r w:rsidRPr="00A11265">
        <w:rPr>
          <w:i/>
          <w:lang w:eastAsia="en-AU"/>
        </w:rPr>
        <w:t>Appropriate oversight/approval.</w:t>
      </w:r>
    </w:p>
    <w:p w14:paraId="7AA44BA9" w14:textId="77777777" w:rsidR="00CC51E9" w:rsidRPr="00A11265" w:rsidRDefault="00CC51E9" w:rsidP="00E02062">
      <w:pPr>
        <w:pStyle w:val="ListParagraph"/>
        <w:numPr>
          <w:ilvl w:val="0"/>
          <w:numId w:val="16"/>
        </w:numPr>
        <w:ind w:right="567"/>
        <w:rPr>
          <w:i/>
          <w:lang w:eastAsia="en-AU"/>
        </w:rPr>
      </w:pPr>
      <w:r w:rsidRPr="00A11265">
        <w:rPr>
          <w:i/>
          <w:lang w:eastAsia="en-AU"/>
        </w:rPr>
        <w:lastRenderedPageBreak/>
        <w:t>Limiting the time frame that such a provision can be relied upon. The limitation of time would be such that this 'catch-all' provision could effectively provide the System Controller with a means to rapidly introduce new requirements as they emerge and to bridge the gap until they can go through the regulatory change process to implement long term arrangements for these new requirements.</w:t>
      </w:r>
    </w:p>
    <w:p w14:paraId="46866BA6" w14:textId="59AA7055" w:rsidR="00CC51E9" w:rsidRPr="00A11265" w:rsidRDefault="00CC51E9" w:rsidP="00E02062">
      <w:pPr>
        <w:pStyle w:val="ListParagraph"/>
        <w:numPr>
          <w:ilvl w:val="0"/>
          <w:numId w:val="16"/>
        </w:numPr>
        <w:ind w:right="567"/>
        <w:rPr>
          <w:i/>
          <w:lang w:eastAsia="en-AU"/>
        </w:rPr>
      </w:pPr>
      <w:r w:rsidRPr="00A11265">
        <w:rPr>
          <w:i/>
          <w:lang w:eastAsia="en-AU"/>
        </w:rPr>
        <w:t>Procurement of services must come with a framework for compensation, either by the causer of the requirement or the system controller.</w:t>
      </w:r>
    </w:p>
    <w:p w14:paraId="6B2BC338" w14:textId="77777777" w:rsidR="007C60FE" w:rsidRPr="00A11265" w:rsidRDefault="003C54CD" w:rsidP="003C54CD">
      <w:pPr>
        <w:rPr>
          <w:rFonts w:asciiTheme="minorHAnsi" w:hAnsiTheme="minorHAnsi" w:cs="Arial"/>
        </w:rPr>
      </w:pPr>
      <w:proofErr w:type="spellStart"/>
      <w:r w:rsidRPr="00A11265">
        <w:rPr>
          <w:rFonts w:asciiTheme="minorHAnsi" w:hAnsiTheme="minorHAnsi" w:cs="Arial"/>
        </w:rPr>
        <w:t>Epuron</w:t>
      </w:r>
      <w:proofErr w:type="spellEnd"/>
      <w:r w:rsidRPr="00A11265">
        <w:rPr>
          <w:rFonts w:asciiTheme="minorHAnsi" w:hAnsiTheme="minorHAnsi" w:cs="Arial"/>
        </w:rPr>
        <w:t xml:space="preserve"> </w:t>
      </w:r>
      <w:r w:rsidR="007C60FE" w:rsidRPr="00A11265">
        <w:rPr>
          <w:rFonts w:asciiTheme="minorHAnsi" w:hAnsiTheme="minorHAnsi" w:cs="Arial"/>
        </w:rPr>
        <w:t>identified that the Utilities Commission could provide independent oversight.</w:t>
      </w:r>
    </w:p>
    <w:p w14:paraId="587D9A73" w14:textId="4ED8B886" w:rsidR="007C60FE" w:rsidRPr="00A11265" w:rsidRDefault="007C60FE" w:rsidP="003C54CD">
      <w:pPr>
        <w:rPr>
          <w:rFonts w:asciiTheme="minorHAnsi" w:hAnsiTheme="minorHAnsi" w:cs="Arial"/>
        </w:rPr>
      </w:pPr>
      <w:r w:rsidRPr="00A11265">
        <w:rPr>
          <w:rFonts w:asciiTheme="minorHAnsi" w:hAnsiTheme="minorHAnsi" w:cs="Arial"/>
        </w:rPr>
        <w:t>Sun Cable suggested that additional essential system service types and definitions should be governed by a rule change process:</w:t>
      </w:r>
    </w:p>
    <w:p w14:paraId="0E22BDA3" w14:textId="6BF9B501" w:rsidR="005858AB" w:rsidRPr="00A11265" w:rsidRDefault="005858AB" w:rsidP="00D9724C">
      <w:pPr>
        <w:ind w:left="567" w:right="567"/>
        <w:rPr>
          <w:rFonts w:asciiTheme="minorHAnsi" w:hAnsiTheme="minorHAnsi" w:cs="Arial"/>
          <w:i/>
        </w:rPr>
      </w:pPr>
      <w:r w:rsidRPr="00A11265">
        <w:rPr>
          <w:rFonts w:asciiTheme="minorHAnsi" w:hAnsiTheme="minorHAnsi" w:cs="Arial"/>
          <w:i/>
        </w:rPr>
        <w:t>The ESS framework should provide for any party, including the System Controller, to request rule changes from the Utilities Commission (or other regulatory bodies in the NT) that would allow such provision via the addition of new categories of ESS. Such proposals should be put through a public consultation and review process, with the final decision being committed to by the Utilities Commission (or another independent body). Key to this process should be the consideration that provision of newly defined services be open to competition in order to bring price, efficiency and environmental outcomes in line with the expanded NEO.</w:t>
      </w:r>
      <w:r w:rsidR="001847A1">
        <w:rPr>
          <w:rStyle w:val="FootnoteReference"/>
          <w:rFonts w:asciiTheme="minorHAnsi" w:hAnsiTheme="minorHAnsi" w:cs="Arial"/>
          <w:i/>
        </w:rPr>
        <w:footnoteReference w:id="16"/>
      </w:r>
    </w:p>
    <w:p w14:paraId="0371AC13" w14:textId="5592457E" w:rsidR="00E54026" w:rsidRPr="00A11265" w:rsidRDefault="00E54026" w:rsidP="00D24B1D">
      <w:pPr>
        <w:pStyle w:val="Heading4"/>
      </w:pPr>
      <w:r w:rsidRPr="00A11265">
        <w:t>Arrangements for inertia and system strength</w:t>
      </w:r>
    </w:p>
    <w:p w14:paraId="5C429FDE" w14:textId="6C9328B1" w:rsidR="007C60FE" w:rsidRPr="00A11265" w:rsidRDefault="007C60FE" w:rsidP="00CB560D">
      <w:pPr>
        <w:rPr>
          <w:rFonts w:asciiTheme="minorHAnsi" w:hAnsiTheme="minorHAnsi" w:cs="Arial"/>
        </w:rPr>
      </w:pPr>
      <w:r w:rsidRPr="00A11265">
        <w:rPr>
          <w:rFonts w:asciiTheme="minorHAnsi" w:hAnsiTheme="minorHAnsi" w:cs="Arial"/>
        </w:rPr>
        <w:t>Regarding arrangements for the provision of inertia and s</w:t>
      </w:r>
      <w:r w:rsidR="00317B0C" w:rsidRPr="00A11265">
        <w:rPr>
          <w:rFonts w:asciiTheme="minorHAnsi" w:hAnsiTheme="minorHAnsi" w:cs="Arial"/>
        </w:rPr>
        <w:t>ystem strength, stakeholders</w:t>
      </w:r>
      <w:r w:rsidRPr="00A11265">
        <w:rPr>
          <w:rFonts w:asciiTheme="minorHAnsi" w:hAnsiTheme="minorHAnsi" w:cs="Arial"/>
        </w:rPr>
        <w:t xml:space="preserve"> addressed varying technical and</w:t>
      </w:r>
      <w:r w:rsidR="00E54026" w:rsidRPr="00A11265">
        <w:rPr>
          <w:rFonts w:asciiTheme="minorHAnsi" w:hAnsiTheme="minorHAnsi" w:cs="Arial"/>
        </w:rPr>
        <w:t xml:space="preserve"> governance aspects</w:t>
      </w:r>
      <w:r w:rsidRPr="00A11265">
        <w:rPr>
          <w:rFonts w:asciiTheme="minorHAnsi" w:hAnsiTheme="minorHAnsi" w:cs="Arial"/>
        </w:rPr>
        <w:t>. T-Gen suggested</w:t>
      </w:r>
      <w:r w:rsidR="00E54026" w:rsidRPr="00A11265">
        <w:rPr>
          <w:rFonts w:asciiTheme="minorHAnsi" w:hAnsiTheme="minorHAnsi" w:cs="Arial"/>
        </w:rPr>
        <w:t xml:space="preserve"> that</w:t>
      </w:r>
      <w:r w:rsidRPr="00A11265">
        <w:rPr>
          <w:rFonts w:asciiTheme="minorHAnsi" w:hAnsiTheme="minorHAnsi" w:cs="Arial"/>
        </w:rPr>
        <w:t xml:space="preserve"> </w:t>
      </w:r>
      <w:proofErr w:type="spellStart"/>
      <w:r w:rsidRPr="00A11265">
        <w:rPr>
          <w:rFonts w:asciiTheme="minorHAnsi" w:hAnsiTheme="minorHAnsi" w:cs="Arial"/>
        </w:rPr>
        <w:t>RoCoF</w:t>
      </w:r>
      <w:proofErr w:type="spellEnd"/>
      <w:r w:rsidRPr="00A11265">
        <w:rPr>
          <w:rFonts w:asciiTheme="minorHAnsi" w:hAnsiTheme="minorHAnsi" w:cs="Arial"/>
        </w:rPr>
        <w:t xml:space="preserve"> rather than inertia was the more relevant technical consideration:</w:t>
      </w:r>
    </w:p>
    <w:p w14:paraId="4BA0F381" w14:textId="07EEEE20" w:rsidR="00F0736C" w:rsidRPr="00A11265" w:rsidRDefault="000F3335" w:rsidP="00D9724C">
      <w:pPr>
        <w:ind w:left="567" w:right="567"/>
        <w:rPr>
          <w:rFonts w:asciiTheme="minorHAnsi" w:hAnsiTheme="minorHAnsi" w:cs="Arial"/>
          <w:i/>
        </w:rPr>
      </w:pPr>
      <w:r w:rsidRPr="00A11265">
        <w:rPr>
          <w:rFonts w:asciiTheme="minorHAnsi" w:hAnsiTheme="minorHAnsi" w:cs="Arial"/>
          <w:i/>
        </w:rPr>
        <w:t xml:space="preserve">Inertia is primarily considered to limit the </w:t>
      </w:r>
      <w:proofErr w:type="spellStart"/>
      <w:r w:rsidRPr="00A11265">
        <w:rPr>
          <w:rFonts w:asciiTheme="minorHAnsi" w:hAnsiTheme="minorHAnsi" w:cs="Arial"/>
          <w:i/>
        </w:rPr>
        <w:t>RoCoF</w:t>
      </w:r>
      <w:proofErr w:type="spellEnd"/>
      <w:r w:rsidRPr="00A11265">
        <w:rPr>
          <w:rFonts w:asciiTheme="minorHAnsi" w:hAnsiTheme="minorHAnsi" w:cs="Arial"/>
          <w:i/>
        </w:rPr>
        <w:t xml:space="preserve"> for anticipated events in the power system. New technologies are emerging that show potential to be able to provide an equivalence in limiting </w:t>
      </w:r>
      <w:proofErr w:type="spellStart"/>
      <w:r w:rsidRPr="00A11265">
        <w:rPr>
          <w:rFonts w:asciiTheme="minorHAnsi" w:hAnsiTheme="minorHAnsi" w:cs="Arial"/>
          <w:i/>
        </w:rPr>
        <w:t>RoCoF</w:t>
      </w:r>
      <w:proofErr w:type="spellEnd"/>
      <w:r w:rsidRPr="00A11265">
        <w:rPr>
          <w:rFonts w:asciiTheme="minorHAnsi" w:hAnsiTheme="minorHAnsi" w:cs="Arial"/>
          <w:i/>
        </w:rPr>
        <w:t xml:space="preserve">. Specifying required inertia levels may therefore be restricting alternative technologies. </w:t>
      </w:r>
      <w:proofErr w:type="spellStart"/>
      <w:r w:rsidRPr="00A11265">
        <w:rPr>
          <w:rFonts w:asciiTheme="minorHAnsi" w:hAnsiTheme="minorHAnsi" w:cs="Arial"/>
          <w:i/>
        </w:rPr>
        <w:t>TGen</w:t>
      </w:r>
      <w:proofErr w:type="spellEnd"/>
      <w:r w:rsidRPr="00A11265">
        <w:rPr>
          <w:rFonts w:asciiTheme="minorHAnsi" w:hAnsiTheme="minorHAnsi" w:cs="Arial"/>
          <w:i/>
        </w:rPr>
        <w:t xml:space="preserve"> believes it may be more appropriate to specify the requirements in terms of </w:t>
      </w:r>
      <w:proofErr w:type="spellStart"/>
      <w:r w:rsidRPr="00A11265">
        <w:rPr>
          <w:rFonts w:asciiTheme="minorHAnsi" w:hAnsiTheme="minorHAnsi" w:cs="Arial"/>
          <w:i/>
        </w:rPr>
        <w:t>RoCoF</w:t>
      </w:r>
      <w:proofErr w:type="spellEnd"/>
      <w:r w:rsidRPr="00A11265">
        <w:rPr>
          <w:rFonts w:asciiTheme="minorHAnsi" w:hAnsiTheme="minorHAnsi" w:cs="Arial"/>
          <w:i/>
        </w:rPr>
        <w:t xml:space="preserve"> limiting services that would allow inertia from synchronous machines and alternative technologies to provide these services.</w:t>
      </w:r>
      <w:r w:rsidR="001847A1">
        <w:rPr>
          <w:rStyle w:val="FootnoteReference"/>
          <w:rFonts w:asciiTheme="minorHAnsi" w:hAnsiTheme="minorHAnsi" w:cs="Arial"/>
          <w:i/>
        </w:rPr>
        <w:footnoteReference w:id="17"/>
      </w:r>
    </w:p>
    <w:p w14:paraId="44C8DDCD" w14:textId="19642ABA" w:rsidR="000F3335" w:rsidRPr="00A11265" w:rsidRDefault="00F0736C" w:rsidP="00D9724C">
      <w:pPr>
        <w:ind w:right="567"/>
        <w:rPr>
          <w:rFonts w:asciiTheme="minorHAnsi" w:hAnsiTheme="minorHAnsi" w:cs="Arial"/>
        </w:rPr>
      </w:pPr>
      <w:proofErr w:type="spellStart"/>
      <w:r w:rsidRPr="00A11265">
        <w:rPr>
          <w:rFonts w:asciiTheme="minorHAnsi" w:hAnsiTheme="minorHAnsi" w:cs="Arial"/>
        </w:rPr>
        <w:t>Epuron</w:t>
      </w:r>
      <w:proofErr w:type="spellEnd"/>
      <w:r w:rsidRPr="00A11265">
        <w:rPr>
          <w:rFonts w:asciiTheme="minorHAnsi" w:hAnsiTheme="minorHAnsi" w:cs="Arial"/>
        </w:rPr>
        <w:t xml:space="preserve"> considered that inertia/</w:t>
      </w:r>
      <w:proofErr w:type="spellStart"/>
      <w:r w:rsidRPr="00A11265">
        <w:rPr>
          <w:rFonts w:asciiTheme="minorHAnsi" w:hAnsiTheme="minorHAnsi" w:cs="Arial"/>
        </w:rPr>
        <w:t>RoCoF</w:t>
      </w:r>
      <w:proofErr w:type="spellEnd"/>
      <w:r w:rsidRPr="00A11265">
        <w:rPr>
          <w:rFonts w:asciiTheme="minorHAnsi" w:hAnsiTheme="minorHAnsi" w:cs="Arial"/>
        </w:rPr>
        <w:t xml:space="preserve"> should be the responsibility of the Network Operator as part of network planning.</w:t>
      </w:r>
      <w:r w:rsidR="009F4341" w:rsidRPr="00A11265">
        <w:rPr>
          <w:rFonts w:asciiTheme="minorHAnsi" w:hAnsiTheme="minorHAnsi" w:cs="Arial"/>
        </w:rPr>
        <w:t xml:space="preserve"> Similarly, T</w:t>
      </w:r>
      <w:r w:rsidR="006A704A">
        <w:rPr>
          <w:rFonts w:asciiTheme="minorHAnsi" w:hAnsiTheme="minorHAnsi" w:cs="Arial"/>
        </w:rPr>
        <w:noBreakHyphen/>
        <w:t>Gen</w:t>
      </w:r>
      <w:r w:rsidR="009F4341" w:rsidRPr="00A11265">
        <w:rPr>
          <w:rFonts w:asciiTheme="minorHAnsi" w:hAnsiTheme="minorHAnsi" w:cs="Arial"/>
        </w:rPr>
        <w:t xml:space="preserve"> also </w:t>
      </w:r>
      <w:r w:rsidRPr="00A11265">
        <w:rPr>
          <w:rFonts w:asciiTheme="minorHAnsi" w:hAnsiTheme="minorHAnsi" w:cs="Arial"/>
        </w:rPr>
        <w:t xml:space="preserve">considered that system strength </w:t>
      </w:r>
      <w:r w:rsidR="009F4341" w:rsidRPr="00A11265">
        <w:rPr>
          <w:rFonts w:asciiTheme="minorHAnsi" w:hAnsiTheme="minorHAnsi" w:cs="Arial"/>
        </w:rPr>
        <w:t>should be</w:t>
      </w:r>
      <w:r w:rsidRPr="00A11265">
        <w:rPr>
          <w:rFonts w:asciiTheme="minorHAnsi" w:hAnsiTheme="minorHAnsi" w:cs="Arial"/>
        </w:rPr>
        <w:t xml:space="preserve"> the responsibility of the Network Operator.</w:t>
      </w:r>
    </w:p>
    <w:p w14:paraId="59672A79" w14:textId="43008F6E" w:rsidR="00E54026" w:rsidRPr="00A11265" w:rsidRDefault="00F0736C" w:rsidP="00D9724C">
      <w:pPr>
        <w:ind w:right="567"/>
        <w:rPr>
          <w:rFonts w:asciiTheme="minorHAnsi" w:hAnsiTheme="minorHAnsi" w:cs="Arial"/>
          <w:i/>
        </w:rPr>
      </w:pPr>
      <w:r w:rsidRPr="00A11265">
        <w:rPr>
          <w:rFonts w:asciiTheme="minorHAnsi" w:hAnsiTheme="minorHAnsi" w:cs="Arial"/>
        </w:rPr>
        <w:t>Sun Cable considered that inertia and system strength should be considered as essential system services, and that ‘</w:t>
      </w:r>
      <w:r w:rsidRPr="00A11265">
        <w:rPr>
          <w:rFonts w:asciiTheme="minorHAnsi" w:hAnsiTheme="minorHAnsi" w:cs="Arial"/>
          <w:i/>
        </w:rPr>
        <w:t>the System Controller is better placed to understand and proactively manage the dynamic properties of these essential services</w:t>
      </w:r>
      <w:r w:rsidRPr="00A11265">
        <w:rPr>
          <w:rFonts w:asciiTheme="minorHAnsi" w:hAnsiTheme="minorHAnsi" w:cs="Arial"/>
        </w:rPr>
        <w:t>’</w:t>
      </w:r>
      <w:r w:rsidR="001847A1">
        <w:rPr>
          <w:rStyle w:val="FootnoteReference"/>
          <w:rFonts w:asciiTheme="minorHAnsi" w:hAnsiTheme="minorHAnsi" w:cs="Arial"/>
        </w:rPr>
        <w:footnoteReference w:id="18"/>
      </w:r>
      <w:r w:rsidR="001847A1">
        <w:rPr>
          <w:rFonts w:asciiTheme="minorHAnsi" w:hAnsiTheme="minorHAnsi" w:cs="Arial"/>
          <w:i/>
        </w:rPr>
        <w:t>.</w:t>
      </w:r>
    </w:p>
    <w:p w14:paraId="631C2EDA" w14:textId="0675C915" w:rsidR="00EF3C37" w:rsidRPr="00A11265" w:rsidRDefault="0090272D" w:rsidP="00D9724C">
      <w:pPr>
        <w:pStyle w:val="Heading2"/>
        <w:keepNext/>
        <w:rPr>
          <w:lang w:eastAsia="en-AU"/>
        </w:rPr>
      </w:pPr>
      <w:bookmarkStart w:id="87" w:name="_Toc57813159"/>
      <w:bookmarkStart w:id="88" w:name="_Toc57813297"/>
      <w:bookmarkStart w:id="89" w:name="_Toc57813421"/>
      <w:bookmarkStart w:id="90" w:name="_Toc57889191"/>
      <w:bookmarkStart w:id="91" w:name="_Toc57997894"/>
      <w:bookmarkStart w:id="92" w:name="_Toc58068060"/>
      <w:bookmarkStart w:id="93" w:name="_Toc58156937"/>
      <w:bookmarkStart w:id="94" w:name="_Toc58207488"/>
      <w:bookmarkStart w:id="95" w:name="_Toc57813163"/>
      <w:bookmarkStart w:id="96" w:name="_Toc57813301"/>
      <w:bookmarkStart w:id="97" w:name="_Toc57813425"/>
      <w:bookmarkStart w:id="98" w:name="_Toc57889195"/>
      <w:bookmarkStart w:id="99" w:name="_Toc57997898"/>
      <w:bookmarkStart w:id="100" w:name="_Toc58068064"/>
      <w:bookmarkStart w:id="101" w:name="_Toc58156941"/>
      <w:bookmarkStart w:id="102" w:name="_Toc58207492"/>
      <w:bookmarkStart w:id="103" w:name="_Toc57813164"/>
      <w:bookmarkStart w:id="104" w:name="_Toc57813302"/>
      <w:bookmarkStart w:id="105" w:name="_Toc57813426"/>
      <w:bookmarkStart w:id="106" w:name="_Toc57889196"/>
      <w:bookmarkStart w:id="107" w:name="_Toc57997899"/>
      <w:bookmarkStart w:id="108" w:name="_Toc58068065"/>
      <w:bookmarkStart w:id="109" w:name="_Toc58156942"/>
      <w:bookmarkStart w:id="110" w:name="_Toc58207493"/>
      <w:bookmarkStart w:id="111" w:name="_Toc57813168"/>
      <w:bookmarkStart w:id="112" w:name="_Toc57813306"/>
      <w:bookmarkStart w:id="113" w:name="_Toc57813430"/>
      <w:bookmarkStart w:id="114" w:name="_Toc57889200"/>
      <w:bookmarkStart w:id="115" w:name="_Toc57997903"/>
      <w:bookmarkStart w:id="116" w:name="_Toc58068069"/>
      <w:bookmarkStart w:id="117" w:name="_Toc58156946"/>
      <w:bookmarkStart w:id="118" w:name="_Toc58207497"/>
      <w:bookmarkStart w:id="119" w:name="_Toc57813169"/>
      <w:bookmarkStart w:id="120" w:name="_Toc57813307"/>
      <w:bookmarkStart w:id="121" w:name="_Toc57813431"/>
      <w:bookmarkStart w:id="122" w:name="_Toc57889201"/>
      <w:bookmarkStart w:id="123" w:name="_Toc57997904"/>
      <w:bookmarkStart w:id="124" w:name="_Toc58068070"/>
      <w:bookmarkStart w:id="125" w:name="_Toc58156947"/>
      <w:bookmarkStart w:id="126" w:name="_Toc58207498"/>
      <w:bookmarkStart w:id="127" w:name="_Toc57813172"/>
      <w:bookmarkStart w:id="128" w:name="_Toc57813310"/>
      <w:bookmarkStart w:id="129" w:name="_Toc57813434"/>
      <w:bookmarkStart w:id="130" w:name="_Toc57889204"/>
      <w:bookmarkStart w:id="131" w:name="_Toc57997907"/>
      <w:bookmarkStart w:id="132" w:name="_Toc58068073"/>
      <w:bookmarkStart w:id="133" w:name="_Toc58156950"/>
      <w:bookmarkStart w:id="134" w:name="_Toc58207501"/>
      <w:bookmarkStart w:id="135" w:name="_Toc6195619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A11265">
        <w:rPr>
          <w:lang w:eastAsia="en-AU"/>
        </w:rPr>
        <w:t>Analysis</w:t>
      </w:r>
      <w:bookmarkEnd w:id="135"/>
    </w:p>
    <w:p w14:paraId="7769B0A1" w14:textId="0C19C2D2" w:rsidR="0090272D" w:rsidRPr="00A11265" w:rsidRDefault="00E54026" w:rsidP="00EF3C37">
      <w:pPr>
        <w:rPr>
          <w:rFonts w:asciiTheme="minorHAnsi" w:hAnsiTheme="minorHAnsi" w:cs="Arial"/>
        </w:rPr>
      </w:pPr>
      <w:r w:rsidRPr="00A11265">
        <w:rPr>
          <w:rFonts w:asciiTheme="minorHAnsi" w:hAnsiTheme="minorHAnsi" w:cs="Arial"/>
        </w:rPr>
        <w:t>T</w:t>
      </w:r>
      <w:r w:rsidR="007D392F" w:rsidRPr="00A11265">
        <w:rPr>
          <w:rFonts w:asciiTheme="minorHAnsi" w:hAnsiTheme="minorHAnsi" w:cs="Arial"/>
        </w:rPr>
        <w:t>he Design Development Team</w:t>
      </w:r>
      <w:r w:rsidRPr="00A11265">
        <w:rPr>
          <w:rFonts w:asciiTheme="minorHAnsi" w:hAnsiTheme="minorHAnsi" w:cs="Arial"/>
        </w:rPr>
        <w:t>, informed by its advisers GH</w:t>
      </w:r>
      <w:r w:rsidR="00F86E96">
        <w:rPr>
          <w:rFonts w:asciiTheme="minorHAnsi" w:hAnsiTheme="minorHAnsi" w:cs="Arial"/>
        </w:rPr>
        <w:t>D</w:t>
      </w:r>
      <w:r w:rsidR="00074521">
        <w:rPr>
          <w:rFonts w:asciiTheme="minorHAnsi" w:hAnsiTheme="minorHAnsi" w:cs="Arial"/>
        </w:rPr>
        <w:t xml:space="preserve"> </w:t>
      </w:r>
      <w:r w:rsidRPr="00A11265">
        <w:rPr>
          <w:rFonts w:asciiTheme="minorHAnsi" w:hAnsiTheme="minorHAnsi" w:cs="Arial"/>
        </w:rPr>
        <w:t>Advisory, considered the</w:t>
      </w:r>
      <w:r w:rsidR="007D392F" w:rsidRPr="00A11265">
        <w:rPr>
          <w:rFonts w:asciiTheme="minorHAnsi" w:hAnsiTheme="minorHAnsi" w:cs="Arial"/>
        </w:rPr>
        <w:t xml:space="preserve"> appropriate essential system service definitio</w:t>
      </w:r>
      <w:r w:rsidR="00B93D14" w:rsidRPr="00A11265">
        <w:rPr>
          <w:rFonts w:asciiTheme="minorHAnsi" w:hAnsiTheme="minorHAnsi" w:cs="Arial"/>
        </w:rPr>
        <w:t>ns for the NT regulated systems; and arrangements related to their governance.</w:t>
      </w:r>
    </w:p>
    <w:p w14:paraId="2656E21F" w14:textId="0B20B75A" w:rsidR="0090272D" w:rsidRPr="00A11265" w:rsidRDefault="00A13E7F" w:rsidP="00EF69E9">
      <w:pPr>
        <w:pStyle w:val="Heading3"/>
        <w:keepNext/>
        <w:rPr>
          <w:szCs w:val="24"/>
          <w:lang w:eastAsia="en-AU"/>
        </w:rPr>
      </w:pPr>
      <w:r w:rsidRPr="00A11265">
        <w:rPr>
          <w:szCs w:val="24"/>
          <w:lang w:eastAsia="en-AU"/>
        </w:rPr>
        <w:lastRenderedPageBreak/>
        <w:t>Service types</w:t>
      </w:r>
    </w:p>
    <w:p w14:paraId="774E7DAB" w14:textId="30277E7A" w:rsidR="00042F24" w:rsidRPr="00A11265" w:rsidRDefault="00042F24" w:rsidP="00D24B1D">
      <w:pPr>
        <w:pStyle w:val="Heading4"/>
      </w:pPr>
      <w:bookmarkStart w:id="136" w:name="_Toc57997911"/>
      <w:bookmarkStart w:id="137" w:name="_Toc58068077"/>
      <w:bookmarkStart w:id="138" w:name="_Toc58156954"/>
      <w:bookmarkStart w:id="139" w:name="_Toc58207505"/>
      <w:bookmarkEnd w:id="136"/>
      <w:bookmarkEnd w:id="137"/>
      <w:bookmarkEnd w:id="138"/>
      <w:bookmarkEnd w:id="139"/>
      <w:r w:rsidRPr="00A11265">
        <w:t>Frequency management</w:t>
      </w:r>
    </w:p>
    <w:p w14:paraId="193804C1" w14:textId="33B625B1" w:rsidR="00042F24" w:rsidRPr="00A11265" w:rsidRDefault="00042F24" w:rsidP="00042F24">
      <w:pPr>
        <w:rPr>
          <w:rFonts w:asciiTheme="minorHAnsi" w:hAnsiTheme="minorHAnsi" w:cs="Arial"/>
        </w:rPr>
      </w:pPr>
      <w:r w:rsidRPr="00A11265">
        <w:rPr>
          <w:rFonts w:asciiTheme="minorHAnsi" w:hAnsiTheme="minorHAnsi" w:cs="Arial"/>
        </w:rPr>
        <w:t>There are three forms of frequency management which together are required to give the N</w:t>
      </w:r>
      <w:r w:rsidR="007D392F" w:rsidRPr="00A11265">
        <w:rPr>
          <w:rFonts w:asciiTheme="minorHAnsi" w:hAnsiTheme="minorHAnsi" w:cs="Arial"/>
        </w:rPr>
        <w:t xml:space="preserve">T regulated </w:t>
      </w:r>
      <w:r w:rsidRPr="00A11265">
        <w:rPr>
          <w:rFonts w:asciiTheme="minorHAnsi" w:hAnsiTheme="minorHAnsi" w:cs="Arial"/>
        </w:rPr>
        <w:t xml:space="preserve">systems a flexible, suitable approach to managing frequency going forward. </w:t>
      </w:r>
    </w:p>
    <w:p w14:paraId="151B2EDE" w14:textId="6DD0B890" w:rsidR="00042F24" w:rsidRPr="00A11265" w:rsidRDefault="00042F24" w:rsidP="001F613E">
      <w:pPr>
        <w:pStyle w:val="ListParagraph"/>
        <w:numPr>
          <w:ilvl w:val="0"/>
          <w:numId w:val="11"/>
        </w:numPr>
        <w:spacing w:before="200"/>
        <w:ind w:left="426"/>
        <w:rPr>
          <w:rFonts w:cs="Arial"/>
        </w:rPr>
      </w:pPr>
      <w:proofErr w:type="spellStart"/>
      <w:r w:rsidRPr="00A11265">
        <w:rPr>
          <w:rFonts w:cs="Arial"/>
        </w:rPr>
        <w:t>RoCoF</w:t>
      </w:r>
      <w:proofErr w:type="spellEnd"/>
      <w:r w:rsidRPr="00A11265">
        <w:rPr>
          <w:rFonts w:cs="Arial"/>
        </w:rPr>
        <w:t xml:space="preserve"> control service</w:t>
      </w:r>
    </w:p>
    <w:p w14:paraId="4EE1AA74" w14:textId="7B454E2A" w:rsidR="00042F24" w:rsidRPr="00A11265" w:rsidRDefault="00042F24" w:rsidP="001F613E">
      <w:pPr>
        <w:pStyle w:val="ListParagraph"/>
        <w:numPr>
          <w:ilvl w:val="0"/>
          <w:numId w:val="11"/>
        </w:numPr>
        <w:spacing w:before="200"/>
        <w:ind w:left="426"/>
        <w:rPr>
          <w:rFonts w:cs="Arial"/>
        </w:rPr>
      </w:pPr>
      <w:r w:rsidRPr="00A11265">
        <w:rPr>
          <w:rFonts w:cs="Arial"/>
        </w:rPr>
        <w:t>Contingency frequency control service</w:t>
      </w:r>
    </w:p>
    <w:p w14:paraId="279308CD" w14:textId="2CD4AA27" w:rsidR="007D392F" w:rsidRPr="00A11265" w:rsidRDefault="00042F24" w:rsidP="001F613E">
      <w:pPr>
        <w:pStyle w:val="ListParagraph"/>
        <w:numPr>
          <w:ilvl w:val="0"/>
          <w:numId w:val="11"/>
        </w:numPr>
        <w:spacing w:before="200"/>
        <w:ind w:left="426"/>
        <w:rPr>
          <w:rFonts w:cs="Arial"/>
        </w:rPr>
      </w:pPr>
      <w:r w:rsidRPr="00A11265">
        <w:rPr>
          <w:rFonts w:cs="Arial"/>
        </w:rPr>
        <w:t>Regulating frequency control service</w:t>
      </w:r>
    </w:p>
    <w:p w14:paraId="263D16AD" w14:textId="5D955477" w:rsidR="006E3831" w:rsidRPr="00A11265" w:rsidRDefault="007D392F" w:rsidP="00042F24">
      <w:pPr>
        <w:rPr>
          <w:rFonts w:asciiTheme="minorHAnsi" w:hAnsiTheme="minorHAnsi" w:cs="Arial"/>
        </w:rPr>
      </w:pPr>
      <w:r w:rsidRPr="00A11265">
        <w:rPr>
          <w:rFonts w:asciiTheme="minorHAnsi" w:hAnsiTheme="minorHAnsi" w:cs="Arial"/>
        </w:rPr>
        <w:t xml:space="preserve">As identified </w:t>
      </w:r>
      <w:r w:rsidR="00E54026" w:rsidRPr="00A11265">
        <w:rPr>
          <w:rFonts w:asciiTheme="minorHAnsi" w:hAnsiTheme="minorHAnsi" w:cs="Arial"/>
        </w:rPr>
        <w:t>in the following</w:t>
      </w:r>
      <w:r w:rsidRPr="00A11265">
        <w:rPr>
          <w:rFonts w:asciiTheme="minorHAnsi" w:hAnsiTheme="minorHAnsi" w:cs="Arial"/>
        </w:rPr>
        <w:t xml:space="preserve">, there is overlap in the requirements proposed for the future and the existing provisions in the SSG. </w:t>
      </w:r>
    </w:p>
    <w:p w14:paraId="50F99F5B" w14:textId="2E6D93E5" w:rsidR="00042F24" w:rsidRPr="00A11265" w:rsidRDefault="00042F24" w:rsidP="00D24B1D">
      <w:pPr>
        <w:pStyle w:val="Heading4"/>
      </w:pPr>
      <w:proofErr w:type="spellStart"/>
      <w:r w:rsidRPr="00A11265">
        <w:t>RoCoF</w:t>
      </w:r>
      <w:proofErr w:type="spellEnd"/>
      <w:r w:rsidRPr="00A11265">
        <w:t xml:space="preserve"> control service</w:t>
      </w:r>
    </w:p>
    <w:p w14:paraId="1363484B" w14:textId="77777777" w:rsidR="00042F24" w:rsidRPr="00A11265" w:rsidRDefault="00042F24" w:rsidP="00042F24">
      <w:pPr>
        <w:rPr>
          <w:rFonts w:asciiTheme="minorHAnsi" w:hAnsiTheme="minorHAnsi" w:cs="Arial"/>
        </w:rPr>
      </w:pPr>
      <w:r w:rsidRPr="00A11265">
        <w:rPr>
          <w:rFonts w:asciiTheme="minorHAnsi" w:hAnsiTheme="minorHAnsi" w:cs="Arial"/>
        </w:rPr>
        <w:t xml:space="preserve">The purpose of a </w:t>
      </w:r>
      <w:proofErr w:type="spellStart"/>
      <w:r w:rsidRPr="00A11265">
        <w:rPr>
          <w:rFonts w:asciiTheme="minorHAnsi" w:hAnsiTheme="minorHAnsi" w:cs="Arial"/>
        </w:rPr>
        <w:t>RoCoF</w:t>
      </w:r>
      <w:proofErr w:type="spellEnd"/>
      <w:r w:rsidRPr="00A11265">
        <w:rPr>
          <w:rFonts w:asciiTheme="minorHAnsi" w:hAnsiTheme="minorHAnsi" w:cs="Arial"/>
        </w:rPr>
        <w:t xml:space="preserve"> control service is to control the rate of change of frequency on the power system following contingencies. </w:t>
      </w:r>
    </w:p>
    <w:p w14:paraId="5D76BA46" w14:textId="1F0B1971" w:rsidR="008001C4" w:rsidRPr="00A11265" w:rsidRDefault="00042F24" w:rsidP="00042F24">
      <w:pPr>
        <w:rPr>
          <w:rFonts w:asciiTheme="minorHAnsi" w:hAnsiTheme="minorHAnsi" w:cs="Arial"/>
        </w:rPr>
      </w:pPr>
      <w:r w:rsidRPr="00A11265">
        <w:rPr>
          <w:rFonts w:asciiTheme="minorHAnsi" w:hAnsiTheme="minorHAnsi" w:cs="Arial"/>
        </w:rPr>
        <w:t xml:space="preserve">The Inertia Frequency Control Ancillary Service (I-FCAS) specified in the SSG, if enacted, is a technical equivalent to a </w:t>
      </w:r>
      <w:proofErr w:type="spellStart"/>
      <w:r w:rsidRPr="00A11265">
        <w:rPr>
          <w:rFonts w:asciiTheme="minorHAnsi" w:hAnsiTheme="minorHAnsi" w:cs="Arial"/>
        </w:rPr>
        <w:t>RoCoF</w:t>
      </w:r>
      <w:proofErr w:type="spellEnd"/>
      <w:r w:rsidRPr="00A11265">
        <w:rPr>
          <w:rFonts w:asciiTheme="minorHAnsi" w:hAnsiTheme="minorHAnsi" w:cs="Arial"/>
        </w:rPr>
        <w:t xml:space="preserve"> control essential system service.</w:t>
      </w:r>
      <w:r w:rsidR="008001C4" w:rsidRPr="00A11265">
        <w:rPr>
          <w:rFonts w:asciiTheme="minorHAnsi" w:hAnsiTheme="minorHAnsi" w:cs="Arial"/>
        </w:rPr>
        <w:t xml:space="preserve"> The Design Development Team proposes</w:t>
      </w:r>
      <w:r w:rsidRPr="00A11265">
        <w:rPr>
          <w:rFonts w:asciiTheme="minorHAnsi" w:hAnsiTheme="minorHAnsi" w:cs="Arial"/>
        </w:rPr>
        <w:t xml:space="preserve"> that this service </w:t>
      </w:r>
      <w:r w:rsidR="008001C4" w:rsidRPr="00A11265">
        <w:rPr>
          <w:rFonts w:asciiTheme="minorHAnsi" w:hAnsiTheme="minorHAnsi" w:cs="Arial"/>
        </w:rPr>
        <w:t>be</w:t>
      </w:r>
      <w:r w:rsidRPr="00A11265">
        <w:rPr>
          <w:rFonts w:asciiTheme="minorHAnsi" w:hAnsiTheme="minorHAnsi" w:cs="Arial"/>
        </w:rPr>
        <w:t xml:space="preserve"> defined as a </w:t>
      </w:r>
      <w:proofErr w:type="spellStart"/>
      <w:r w:rsidRPr="00A11265">
        <w:rPr>
          <w:rFonts w:asciiTheme="minorHAnsi" w:hAnsiTheme="minorHAnsi" w:cs="Arial"/>
        </w:rPr>
        <w:t>RoCoF</w:t>
      </w:r>
      <w:proofErr w:type="spellEnd"/>
      <w:r w:rsidRPr="00A11265">
        <w:rPr>
          <w:rFonts w:asciiTheme="minorHAnsi" w:hAnsiTheme="minorHAnsi" w:cs="Arial"/>
        </w:rPr>
        <w:t xml:space="preserve"> control service </w:t>
      </w:r>
      <w:r w:rsidR="00E54026" w:rsidRPr="00A11265">
        <w:rPr>
          <w:rFonts w:asciiTheme="minorHAnsi" w:hAnsiTheme="minorHAnsi" w:cs="Arial"/>
        </w:rPr>
        <w:t>—</w:t>
      </w:r>
      <w:r w:rsidRPr="00A11265">
        <w:rPr>
          <w:rFonts w:asciiTheme="minorHAnsi" w:hAnsiTheme="minorHAnsi" w:cs="Arial"/>
        </w:rPr>
        <w:t xml:space="preserve"> this provides a technology-neutral description of the required services, whereas inertia (and therefore I-FCAS) is a characteristic of synchronous machines. This is likely to become more important going forward as more technologies become capable of providing </w:t>
      </w:r>
      <w:proofErr w:type="spellStart"/>
      <w:r w:rsidRPr="00A11265">
        <w:rPr>
          <w:rFonts w:asciiTheme="minorHAnsi" w:hAnsiTheme="minorHAnsi" w:cs="Arial"/>
        </w:rPr>
        <w:t>RoCoF</w:t>
      </w:r>
      <w:proofErr w:type="spellEnd"/>
      <w:r w:rsidRPr="00A11265">
        <w:rPr>
          <w:rFonts w:asciiTheme="minorHAnsi" w:hAnsiTheme="minorHAnsi" w:cs="Arial"/>
        </w:rPr>
        <w:t xml:space="preserve"> control and avoids the description of such technologies as </w:t>
      </w:r>
      <w:r w:rsidR="0006727A" w:rsidRPr="00A11265">
        <w:rPr>
          <w:rFonts w:asciiTheme="minorHAnsi" w:hAnsiTheme="minorHAnsi" w:cs="Arial"/>
        </w:rPr>
        <w:t>‘</w:t>
      </w:r>
      <w:r w:rsidRPr="00A11265">
        <w:rPr>
          <w:rFonts w:asciiTheme="minorHAnsi" w:hAnsiTheme="minorHAnsi" w:cs="Arial"/>
        </w:rPr>
        <w:t>emulated inertia</w:t>
      </w:r>
      <w:r w:rsidR="0006727A" w:rsidRPr="00A11265">
        <w:rPr>
          <w:rFonts w:asciiTheme="minorHAnsi" w:hAnsiTheme="minorHAnsi" w:cs="Arial"/>
        </w:rPr>
        <w:t>’</w:t>
      </w:r>
      <w:r w:rsidRPr="00A11265">
        <w:rPr>
          <w:rFonts w:asciiTheme="minorHAnsi" w:hAnsiTheme="minorHAnsi" w:cs="Arial"/>
        </w:rPr>
        <w:t xml:space="preserve"> where this may not be appropriate.</w:t>
      </w:r>
    </w:p>
    <w:p w14:paraId="3E56DA37" w14:textId="37AA50F1" w:rsidR="00042F24" w:rsidRPr="00A11265" w:rsidRDefault="00042F24" w:rsidP="00042F24">
      <w:pPr>
        <w:rPr>
          <w:rFonts w:asciiTheme="minorHAnsi" w:hAnsiTheme="minorHAnsi" w:cs="Arial"/>
        </w:rPr>
      </w:pPr>
      <w:proofErr w:type="spellStart"/>
      <w:r w:rsidRPr="00A11265">
        <w:rPr>
          <w:rFonts w:asciiTheme="minorHAnsi" w:hAnsiTheme="minorHAnsi" w:cs="Arial"/>
        </w:rPr>
        <w:t>RoCoF</w:t>
      </w:r>
      <w:proofErr w:type="spellEnd"/>
      <w:r w:rsidRPr="00A11265">
        <w:rPr>
          <w:rFonts w:asciiTheme="minorHAnsi" w:hAnsiTheme="minorHAnsi" w:cs="Arial"/>
        </w:rPr>
        <w:t xml:space="preserve"> control has previously been provided on </w:t>
      </w:r>
      <w:r w:rsidR="0006727A" w:rsidRPr="00A11265">
        <w:rPr>
          <w:rFonts w:asciiTheme="minorHAnsi" w:hAnsiTheme="minorHAnsi" w:cs="Arial"/>
        </w:rPr>
        <w:t>the NT regulated systems</w:t>
      </w:r>
      <w:r w:rsidRPr="00A11265">
        <w:rPr>
          <w:rFonts w:asciiTheme="minorHAnsi" w:hAnsiTheme="minorHAnsi" w:cs="Arial"/>
        </w:rPr>
        <w:t xml:space="preserve"> as an inherent by</w:t>
      </w:r>
      <w:r w:rsidR="008001C4" w:rsidRPr="00A11265">
        <w:rPr>
          <w:rFonts w:asciiTheme="minorHAnsi" w:hAnsiTheme="minorHAnsi" w:cs="Arial"/>
        </w:rPr>
        <w:noBreakHyphen/>
      </w:r>
      <w:r w:rsidRPr="00A11265">
        <w:rPr>
          <w:rFonts w:asciiTheme="minorHAnsi" w:hAnsiTheme="minorHAnsi" w:cs="Arial"/>
        </w:rPr>
        <w:t xml:space="preserve">product of spinning synchronous generators, which provide inertia, limiting the total </w:t>
      </w:r>
      <w:proofErr w:type="spellStart"/>
      <w:r w:rsidRPr="00A11265">
        <w:rPr>
          <w:rFonts w:asciiTheme="minorHAnsi" w:hAnsiTheme="minorHAnsi" w:cs="Arial"/>
        </w:rPr>
        <w:t>RoCoF</w:t>
      </w:r>
      <w:proofErr w:type="spellEnd"/>
      <w:r w:rsidRPr="00A11265">
        <w:rPr>
          <w:rFonts w:asciiTheme="minorHAnsi" w:hAnsiTheme="minorHAnsi" w:cs="Arial"/>
        </w:rPr>
        <w:t xml:space="preserve"> which occurs after contingencies. This has not previously required a specific service, due to the inherent capabilities of synchronous generators. Increasing penetration of solar </w:t>
      </w:r>
      <w:r w:rsidR="000458F9">
        <w:rPr>
          <w:rFonts w:asciiTheme="minorHAnsi" w:hAnsiTheme="minorHAnsi" w:cs="Arial"/>
        </w:rPr>
        <w:t>PV</w:t>
      </w:r>
      <w:r w:rsidRPr="00A11265">
        <w:rPr>
          <w:rFonts w:asciiTheme="minorHAnsi" w:hAnsiTheme="minorHAnsi" w:cs="Arial"/>
        </w:rPr>
        <w:t xml:space="preserve">, which provides no inherent inertia, will increase the need for a </w:t>
      </w:r>
      <w:proofErr w:type="spellStart"/>
      <w:r w:rsidRPr="00A11265">
        <w:rPr>
          <w:rFonts w:asciiTheme="minorHAnsi" w:hAnsiTheme="minorHAnsi" w:cs="Arial"/>
        </w:rPr>
        <w:t>RoCoF</w:t>
      </w:r>
      <w:proofErr w:type="spellEnd"/>
      <w:r w:rsidRPr="00A11265">
        <w:rPr>
          <w:rFonts w:asciiTheme="minorHAnsi" w:hAnsiTheme="minorHAnsi" w:cs="Arial"/>
        </w:rPr>
        <w:t xml:space="preserve"> control service to be explicitly defined and procured to ensure secure and stable operation of the regulated systems.</w:t>
      </w:r>
    </w:p>
    <w:p w14:paraId="2474EDD0" w14:textId="356F9ECE" w:rsidR="00042F24" w:rsidRPr="00A11265" w:rsidRDefault="00042F24" w:rsidP="00D24B1D">
      <w:pPr>
        <w:pStyle w:val="Heading4"/>
      </w:pPr>
      <w:r w:rsidRPr="00A11265">
        <w:t>Contingency frequency control service</w:t>
      </w:r>
    </w:p>
    <w:p w14:paraId="34D40706" w14:textId="6C584247" w:rsidR="00042F24" w:rsidRPr="00A11265" w:rsidRDefault="00042F24" w:rsidP="00042F24">
      <w:pPr>
        <w:rPr>
          <w:rFonts w:asciiTheme="minorHAnsi" w:hAnsiTheme="minorHAnsi" w:cs="Arial"/>
        </w:rPr>
      </w:pPr>
      <w:r w:rsidRPr="00A11265">
        <w:rPr>
          <w:rFonts w:asciiTheme="minorHAnsi" w:hAnsiTheme="minorHAnsi" w:cs="Arial"/>
        </w:rPr>
        <w:t xml:space="preserve">The purpose of a contingency frequency control service is to arrest a change in frequency following a contingency event. The service operates to prevent </w:t>
      </w:r>
      <w:r w:rsidR="00831078" w:rsidRPr="00A11265">
        <w:rPr>
          <w:rFonts w:asciiTheme="minorHAnsi" w:hAnsiTheme="minorHAnsi" w:cs="Arial"/>
        </w:rPr>
        <w:t>Under Frequency Load Shedding</w:t>
      </w:r>
      <w:r w:rsidRPr="00A11265">
        <w:rPr>
          <w:rFonts w:asciiTheme="minorHAnsi" w:hAnsiTheme="minorHAnsi" w:cs="Arial"/>
        </w:rPr>
        <w:t xml:space="preserve"> or </w:t>
      </w:r>
      <w:r w:rsidR="00831078" w:rsidRPr="00A11265">
        <w:rPr>
          <w:rFonts w:asciiTheme="minorHAnsi" w:hAnsiTheme="minorHAnsi" w:cs="Arial"/>
        </w:rPr>
        <w:t>Over Frequency Generation Shedding</w:t>
      </w:r>
      <w:r w:rsidRPr="00A11265">
        <w:rPr>
          <w:rFonts w:asciiTheme="minorHAnsi" w:hAnsiTheme="minorHAnsi" w:cs="Arial"/>
        </w:rPr>
        <w:t xml:space="preserve">, thereby stabilising the power system frequency such that it remains within safe limits until a </w:t>
      </w:r>
      <w:proofErr w:type="spellStart"/>
      <w:r w:rsidRPr="00A11265">
        <w:rPr>
          <w:rFonts w:asciiTheme="minorHAnsi" w:hAnsiTheme="minorHAnsi" w:cs="Arial"/>
        </w:rPr>
        <w:t>redispatch</w:t>
      </w:r>
      <w:proofErr w:type="spellEnd"/>
      <w:r w:rsidRPr="00A11265">
        <w:rPr>
          <w:rFonts w:asciiTheme="minorHAnsi" w:hAnsiTheme="minorHAnsi" w:cs="Arial"/>
        </w:rPr>
        <w:t xml:space="preserve"> can return the system to 50 Hz. </w:t>
      </w:r>
    </w:p>
    <w:p w14:paraId="36DA68DC" w14:textId="1718F9CF" w:rsidR="00042F24" w:rsidRPr="00A11265" w:rsidRDefault="00B26F84" w:rsidP="00D9724C">
      <w:pPr>
        <w:keepNext/>
        <w:rPr>
          <w:rFonts w:asciiTheme="minorHAnsi" w:hAnsiTheme="minorHAnsi" w:cs="Arial"/>
          <w:i/>
        </w:rPr>
      </w:pPr>
      <w:r w:rsidRPr="00A11265">
        <w:rPr>
          <w:rFonts w:asciiTheme="minorHAnsi" w:hAnsiTheme="minorHAnsi" w:cs="Arial"/>
          <w:i/>
        </w:rPr>
        <w:t>Contingency raise and</w:t>
      </w:r>
      <w:r w:rsidR="00042F24" w:rsidRPr="00A11265">
        <w:rPr>
          <w:rFonts w:asciiTheme="minorHAnsi" w:hAnsiTheme="minorHAnsi" w:cs="Arial"/>
          <w:i/>
        </w:rPr>
        <w:t xml:space="preserve"> lower</w:t>
      </w:r>
    </w:p>
    <w:p w14:paraId="73F58C59" w14:textId="77777777" w:rsidR="00042F24" w:rsidRPr="00A11265" w:rsidRDefault="00042F24" w:rsidP="00042F24">
      <w:pPr>
        <w:rPr>
          <w:rFonts w:asciiTheme="minorHAnsi" w:hAnsiTheme="minorHAnsi" w:cs="Arial"/>
        </w:rPr>
      </w:pPr>
      <w:r w:rsidRPr="00A11265">
        <w:rPr>
          <w:rFonts w:asciiTheme="minorHAnsi" w:hAnsiTheme="minorHAnsi" w:cs="Arial"/>
        </w:rPr>
        <w:t xml:space="preserve">The separation of contingency frequency control services into raise and lower contingency control services is already contemplated in the SSG, although the C-FCAS provisions are not currently used by the System Controller in operating the power system. </w:t>
      </w:r>
    </w:p>
    <w:p w14:paraId="2E1616AA" w14:textId="77777777" w:rsidR="00042F24" w:rsidRPr="00A11265" w:rsidRDefault="00042F24" w:rsidP="00D9724C">
      <w:pPr>
        <w:keepNext/>
        <w:rPr>
          <w:rFonts w:asciiTheme="minorHAnsi" w:hAnsiTheme="minorHAnsi" w:cs="Arial"/>
        </w:rPr>
      </w:pPr>
      <w:r w:rsidRPr="00A11265">
        <w:rPr>
          <w:rFonts w:asciiTheme="minorHAnsi" w:hAnsiTheme="minorHAnsi" w:cs="Arial"/>
        </w:rPr>
        <w:t>Separation of contingency frequency control into two distinct services allows for a clear price signalling where a trade-off between the costs of managing generator contingencies can be made using either:</w:t>
      </w:r>
    </w:p>
    <w:p w14:paraId="207033A1" w14:textId="3434280E" w:rsidR="00042F24" w:rsidRPr="00A11265" w:rsidRDefault="00831078" w:rsidP="001F613E">
      <w:pPr>
        <w:pStyle w:val="ListParagraph"/>
        <w:numPr>
          <w:ilvl w:val="0"/>
          <w:numId w:val="11"/>
        </w:numPr>
        <w:spacing w:before="200"/>
        <w:ind w:left="426"/>
        <w:rPr>
          <w:rFonts w:cs="Arial"/>
        </w:rPr>
      </w:pPr>
      <w:r w:rsidRPr="00A11265">
        <w:rPr>
          <w:rFonts w:cs="Arial"/>
        </w:rPr>
        <w:t>g</w:t>
      </w:r>
      <w:r w:rsidR="00042F24" w:rsidRPr="00A11265">
        <w:rPr>
          <w:rFonts w:cs="Arial"/>
        </w:rPr>
        <w:t>enerator curtailment</w:t>
      </w:r>
      <w:r w:rsidR="00272409" w:rsidRPr="00A11265">
        <w:rPr>
          <w:rFonts w:cs="Arial"/>
        </w:rPr>
        <w:t>;</w:t>
      </w:r>
      <w:r w:rsidR="00042F24" w:rsidRPr="00A11265">
        <w:rPr>
          <w:rFonts w:cs="Arial"/>
        </w:rPr>
        <w:t xml:space="preserve"> or</w:t>
      </w:r>
    </w:p>
    <w:p w14:paraId="0B795FFD" w14:textId="4BD75528" w:rsidR="00042F24" w:rsidRPr="00A11265" w:rsidRDefault="00831078" w:rsidP="001F613E">
      <w:pPr>
        <w:pStyle w:val="ListParagraph"/>
        <w:numPr>
          <w:ilvl w:val="0"/>
          <w:numId w:val="11"/>
        </w:numPr>
        <w:spacing w:before="200"/>
        <w:ind w:left="426"/>
        <w:rPr>
          <w:rFonts w:cs="Arial"/>
        </w:rPr>
      </w:pPr>
      <w:proofErr w:type="gramStart"/>
      <w:r w:rsidRPr="00A11265">
        <w:rPr>
          <w:rFonts w:cs="Arial"/>
        </w:rPr>
        <w:t>p</w:t>
      </w:r>
      <w:r w:rsidR="00042F24" w:rsidRPr="00A11265">
        <w:rPr>
          <w:rFonts w:cs="Arial"/>
        </w:rPr>
        <w:t>rocuring</w:t>
      </w:r>
      <w:proofErr w:type="gramEnd"/>
      <w:r w:rsidR="00042F24" w:rsidRPr="00A11265">
        <w:rPr>
          <w:rFonts w:cs="Arial"/>
        </w:rPr>
        <w:t xml:space="preserve"> greater volumes of contingency frequency control raise.</w:t>
      </w:r>
    </w:p>
    <w:p w14:paraId="4A641EBD" w14:textId="68919E5B" w:rsidR="00042F24" w:rsidRPr="00A11265" w:rsidRDefault="00042F24" w:rsidP="00042F24">
      <w:pPr>
        <w:rPr>
          <w:rFonts w:asciiTheme="minorHAnsi" w:hAnsiTheme="minorHAnsi" w:cs="Arial"/>
        </w:rPr>
      </w:pPr>
      <w:r w:rsidRPr="00A11265">
        <w:rPr>
          <w:rFonts w:asciiTheme="minorHAnsi" w:hAnsiTheme="minorHAnsi" w:cs="Arial"/>
        </w:rPr>
        <w:lastRenderedPageBreak/>
        <w:t xml:space="preserve">Another advantage of this approach is to encourage market participation from participants who may be unwilling (or unable) to provide both services. For example, renewable generators may not want to participate in a </w:t>
      </w:r>
      <w:r w:rsidR="0087470E" w:rsidRPr="00A11265">
        <w:rPr>
          <w:rFonts w:asciiTheme="minorHAnsi" w:hAnsiTheme="minorHAnsi" w:cs="Arial"/>
        </w:rPr>
        <w:t>‘</w:t>
      </w:r>
      <w:r w:rsidRPr="00A11265">
        <w:rPr>
          <w:rFonts w:asciiTheme="minorHAnsi" w:hAnsiTheme="minorHAnsi" w:cs="Arial"/>
        </w:rPr>
        <w:t>contingency raise</w:t>
      </w:r>
      <w:r w:rsidR="0087470E" w:rsidRPr="00A11265">
        <w:rPr>
          <w:rFonts w:asciiTheme="minorHAnsi" w:hAnsiTheme="minorHAnsi" w:cs="Arial"/>
        </w:rPr>
        <w:t>’</w:t>
      </w:r>
      <w:r w:rsidRPr="00A11265">
        <w:rPr>
          <w:rFonts w:asciiTheme="minorHAnsi" w:hAnsiTheme="minorHAnsi" w:cs="Arial"/>
        </w:rPr>
        <w:t xml:space="preserve"> service which requires them to constantly operate below their maximum output, and to install greater backup storage capacity to ensure they are capable of providing the service when called. This is likely to be a more significant issue for renewable generators, which have no marginal cost of production and therefore typically have more to gain from every kWh generated. However, these generators may still wish to provide a </w:t>
      </w:r>
      <w:r w:rsidR="00831078" w:rsidRPr="00A11265">
        <w:rPr>
          <w:rFonts w:asciiTheme="minorHAnsi" w:hAnsiTheme="minorHAnsi" w:cs="Arial"/>
        </w:rPr>
        <w:t>‘</w:t>
      </w:r>
      <w:r w:rsidRPr="00A11265">
        <w:rPr>
          <w:rFonts w:asciiTheme="minorHAnsi" w:hAnsiTheme="minorHAnsi" w:cs="Arial"/>
        </w:rPr>
        <w:t>contingency lower</w:t>
      </w:r>
      <w:r w:rsidR="00831078" w:rsidRPr="00A11265">
        <w:rPr>
          <w:rFonts w:asciiTheme="minorHAnsi" w:hAnsiTheme="minorHAnsi" w:cs="Arial"/>
        </w:rPr>
        <w:t>’</w:t>
      </w:r>
      <w:r w:rsidRPr="00A11265">
        <w:rPr>
          <w:rFonts w:asciiTheme="minorHAnsi" w:hAnsiTheme="minorHAnsi" w:cs="Arial"/>
        </w:rPr>
        <w:t xml:space="preserve"> service that requires them to turn down for a dispatch period. The same argument may hold for a synchronous generator that is operating at minimum output </w:t>
      </w:r>
      <w:r w:rsidR="005C3583" w:rsidRPr="00A11265">
        <w:rPr>
          <w:rFonts w:cs="Arial"/>
        </w:rPr>
        <w:t>—</w:t>
      </w:r>
      <w:r w:rsidR="005C3583">
        <w:rPr>
          <w:rFonts w:asciiTheme="minorHAnsi" w:hAnsiTheme="minorHAnsi" w:cs="Arial"/>
        </w:rPr>
        <w:t xml:space="preserve"> w</w:t>
      </w:r>
      <w:r w:rsidRPr="00A11265">
        <w:rPr>
          <w:rFonts w:asciiTheme="minorHAnsi" w:hAnsiTheme="minorHAnsi" w:cs="Arial"/>
        </w:rPr>
        <w:t>hile the synchronous generator would be able to provide a contingency raise service it would not be capable of providing a contingency lower service.</w:t>
      </w:r>
    </w:p>
    <w:p w14:paraId="7DFC0A7A" w14:textId="5ABC750D" w:rsidR="00042F24" w:rsidRPr="00A11265" w:rsidRDefault="00042F24" w:rsidP="00042F24">
      <w:pPr>
        <w:rPr>
          <w:rFonts w:asciiTheme="minorHAnsi" w:hAnsiTheme="minorHAnsi" w:cs="Arial"/>
        </w:rPr>
      </w:pPr>
      <w:r w:rsidRPr="00A11265">
        <w:rPr>
          <w:rFonts w:asciiTheme="minorHAnsi" w:hAnsiTheme="minorHAnsi" w:cs="Arial"/>
        </w:rPr>
        <w:t xml:space="preserve">Finally, separation of the two types of contingency frequency control services has the advantage of allowing different volumes to be specified for </w:t>
      </w:r>
      <w:r w:rsidR="0087470E" w:rsidRPr="00A11265">
        <w:rPr>
          <w:rFonts w:asciiTheme="minorHAnsi" w:hAnsiTheme="minorHAnsi" w:cs="Arial"/>
        </w:rPr>
        <w:t>‘</w:t>
      </w:r>
      <w:r w:rsidRPr="00A11265">
        <w:rPr>
          <w:rFonts w:asciiTheme="minorHAnsi" w:hAnsiTheme="minorHAnsi" w:cs="Arial"/>
        </w:rPr>
        <w:t>raise</w:t>
      </w:r>
      <w:r w:rsidR="0087470E" w:rsidRPr="00A11265">
        <w:rPr>
          <w:rFonts w:asciiTheme="minorHAnsi" w:hAnsiTheme="minorHAnsi" w:cs="Arial"/>
        </w:rPr>
        <w:t>’</w:t>
      </w:r>
      <w:r w:rsidRPr="00A11265">
        <w:rPr>
          <w:rFonts w:asciiTheme="minorHAnsi" w:hAnsiTheme="minorHAnsi" w:cs="Arial"/>
        </w:rPr>
        <w:t xml:space="preserve"> and </w:t>
      </w:r>
      <w:r w:rsidR="0087470E" w:rsidRPr="00A11265">
        <w:rPr>
          <w:rFonts w:asciiTheme="minorHAnsi" w:hAnsiTheme="minorHAnsi" w:cs="Arial"/>
        </w:rPr>
        <w:t>‘</w:t>
      </w:r>
      <w:r w:rsidRPr="00A11265">
        <w:rPr>
          <w:rFonts w:asciiTheme="minorHAnsi" w:hAnsiTheme="minorHAnsi" w:cs="Arial"/>
        </w:rPr>
        <w:t>lower</w:t>
      </w:r>
      <w:r w:rsidR="0087470E" w:rsidRPr="00A11265">
        <w:rPr>
          <w:rFonts w:asciiTheme="minorHAnsi" w:hAnsiTheme="minorHAnsi" w:cs="Arial"/>
        </w:rPr>
        <w:t>’</w:t>
      </w:r>
      <w:r w:rsidRPr="00A11265">
        <w:rPr>
          <w:rFonts w:asciiTheme="minorHAnsi" w:hAnsiTheme="minorHAnsi" w:cs="Arial"/>
        </w:rPr>
        <w:t xml:space="preserve"> capacity, as required by the system. This would allow the extent of service dispatched at any time to meet the needs of the actual power system at that time.</w:t>
      </w:r>
    </w:p>
    <w:p w14:paraId="492AF802" w14:textId="77777777" w:rsidR="00042F24" w:rsidRPr="00A11265" w:rsidRDefault="00042F24" w:rsidP="00042F24">
      <w:pPr>
        <w:rPr>
          <w:rFonts w:asciiTheme="minorHAnsi" w:hAnsiTheme="minorHAnsi" w:cs="Arial"/>
          <w:i/>
        </w:rPr>
      </w:pPr>
      <w:r w:rsidRPr="00A11265">
        <w:rPr>
          <w:rFonts w:asciiTheme="minorHAnsi" w:hAnsiTheme="minorHAnsi" w:cs="Arial"/>
          <w:i/>
        </w:rPr>
        <w:t>Fast / slow / delayed contingency control</w:t>
      </w:r>
    </w:p>
    <w:p w14:paraId="10795127" w14:textId="69B9B725" w:rsidR="00042F24" w:rsidRPr="00A11265" w:rsidRDefault="0087470E" w:rsidP="00042F24">
      <w:pPr>
        <w:rPr>
          <w:rFonts w:asciiTheme="minorHAnsi" w:hAnsiTheme="minorHAnsi" w:cs="Arial"/>
        </w:rPr>
      </w:pPr>
      <w:r w:rsidRPr="00A11265">
        <w:rPr>
          <w:rFonts w:asciiTheme="minorHAnsi" w:hAnsiTheme="minorHAnsi" w:cs="Arial"/>
        </w:rPr>
        <w:t>‘</w:t>
      </w:r>
      <w:r w:rsidR="00042F24" w:rsidRPr="00A11265">
        <w:rPr>
          <w:rFonts w:asciiTheme="minorHAnsi" w:hAnsiTheme="minorHAnsi" w:cs="Arial"/>
        </w:rPr>
        <w:t>Fast</w:t>
      </w:r>
      <w:r w:rsidRPr="00A11265">
        <w:rPr>
          <w:rFonts w:asciiTheme="minorHAnsi" w:hAnsiTheme="minorHAnsi" w:cs="Arial"/>
        </w:rPr>
        <w:t>’</w:t>
      </w:r>
      <w:r w:rsidR="00042F24" w:rsidRPr="00A11265">
        <w:rPr>
          <w:rFonts w:asciiTheme="minorHAnsi" w:hAnsiTheme="minorHAnsi" w:cs="Arial"/>
        </w:rPr>
        <w:t xml:space="preserve"> contingency frequency control is required to arrest a change in frequency following a contingency event, and prevent frequencies falling outside of the frequency operating standards applied in the NTC for contingency events, in this case 47</w:t>
      </w:r>
      <w:r w:rsidR="00831078" w:rsidRPr="00A11265">
        <w:rPr>
          <w:rFonts w:asciiTheme="minorHAnsi" w:hAnsiTheme="minorHAnsi" w:cs="Arial"/>
        </w:rPr>
        <w:t>–</w:t>
      </w:r>
      <w:r w:rsidR="00042F24" w:rsidRPr="00A11265">
        <w:rPr>
          <w:rFonts w:asciiTheme="minorHAnsi" w:hAnsiTheme="minorHAnsi" w:cs="Arial"/>
        </w:rPr>
        <w:t xml:space="preserve">52 Hz. As higher </w:t>
      </w:r>
      <w:proofErr w:type="spellStart"/>
      <w:r w:rsidR="00042F24" w:rsidRPr="00A11265">
        <w:rPr>
          <w:rFonts w:asciiTheme="minorHAnsi" w:hAnsiTheme="minorHAnsi" w:cs="Arial"/>
        </w:rPr>
        <w:t>RoCoF</w:t>
      </w:r>
      <w:proofErr w:type="spellEnd"/>
      <w:r w:rsidR="00042F24" w:rsidRPr="00A11265">
        <w:rPr>
          <w:rFonts w:asciiTheme="minorHAnsi" w:hAnsiTheme="minorHAnsi" w:cs="Arial"/>
        </w:rPr>
        <w:t xml:space="preserve"> </w:t>
      </w:r>
      <w:r w:rsidR="00901D6D" w:rsidRPr="00A11265">
        <w:rPr>
          <w:rFonts w:asciiTheme="minorHAnsi" w:hAnsiTheme="minorHAnsi" w:cs="Arial"/>
        </w:rPr>
        <w:t xml:space="preserve">on the system </w:t>
      </w:r>
      <w:r w:rsidR="00042F24" w:rsidRPr="00A11265">
        <w:rPr>
          <w:rFonts w:asciiTheme="minorHAnsi" w:hAnsiTheme="minorHAnsi" w:cs="Arial"/>
        </w:rPr>
        <w:t>becomes standard following contingencies, this increases the requirement for a faster responding contingency frequency control service.</w:t>
      </w:r>
    </w:p>
    <w:p w14:paraId="192AF247" w14:textId="44263F2C" w:rsidR="00042F24" w:rsidRPr="00A11265" w:rsidRDefault="00042F24" w:rsidP="00042F24">
      <w:pPr>
        <w:rPr>
          <w:rFonts w:asciiTheme="minorHAnsi" w:hAnsiTheme="minorHAnsi" w:cs="Arial"/>
        </w:rPr>
      </w:pPr>
      <w:r w:rsidRPr="00A11265">
        <w:rPr>
          <w:rFonts w:asciiTheme="minorHAnsi" w:hAnsiTheme="minorHAnsi" w:cs="Arial"/>
        </w:rPr>
        <w:t>An efficient approach to procur</w:t>
      </w:r>
      <w:r w:rsidR="00901D6D">
        <w:rPr>
          <w:rFonts w:asciiTheme="minorHAnsi" w:hAnsiTheme="minorHAnsi" w:cs="Arial"/>
        </w:rPr>
        <w:t>ing</w:t>
      </w:r>
      <w:r w:rsidRPr="00A11265">
        <w:rPr>
          <w:rFonts w:asciiTheme="minorHAnsi" w:hAnsiTheme="minorHAnsi" w:cs="Arial"/>
        </w:rPr>
        <w:t xml:space="preserve"> this service would determine the fastest possible response time required to cater for the most onerous credible contingency event (protected events can violate the</w:t>
      </w:r>
      <w:r w:rsidR="00880607">
        <w:rPr>
          <w:rFonts w:asciiTheme="minorHAnsi" w:hAnsiTheme="minorHAnsi" w:cs="Arial"/>
        </w:rPr>
        <w:t xml:space="preserve"> </w:t>
      </w:r>
      <w:r w:rsidRPr="00A11265">
        <w:rPr>
          <w:rFonts w:asciiTheme="minorHAnsi" w:hAnsiTheme="minorHAnsi" w:cs="Arial"/>
        </w:rPr>
        <w:t>47</w:t>
      </w:r>
      <w:r w:rsidR="00880607">
        <w:rPr>
          <w:rFonts w:asciiTheme="minorHAnsi" w:hAnsiTheme="minorHAnsi" w:cs="Arial"/>
        </w:rPr>
        <w:noBreakHyphen/>
      </w:r>
      <w:r w:rsidRPr="00A11265">
        <w:rPr>
          <w:rFonts w:asciiTheme="minorHAnsi" w:hAnsiTheme="minorHAnsi" w:cs="Arial"/>
        </w:rPr>
        <w:t>52</w:t>
      </w:r>
      <w:r w:rsidR="00831078" w:rsidRPr="00A11265">
        <w:rPr>
          <w:rFonts w:asciiTheme="minorHAnsi" w:hAnsiTheme="minorHAnsi" w:cs="Arial"/>
        </w:rPr>
        <w:t> </w:t>
      </w:r>
      <w:r w:rsidRPr="00A11265">
        <w:rPr>
          <w:rFonts w:asciiTheme="minorHAnsi" w:hAnsiTheme="minorHAnsi" w:cs="Arial"/>
        </w:rPr>
        <w:t>Hz frequency operating standards and undergo load shedding). For example, a contingency event resulting in a 2 Hz/s</w:t>
      </w:r>
      <w:r w:rsidR="00831078" w:rsidRPr="00A11265">
        <w:rPr>
          <w:rFonts w:asciiTheme="minorHAnsi" w:hAnsiTheme="minorHAnsi" w:cs="Arial"/>
        </w:rPr>
        <w:t>econd</w:t>
      </w:r>
      <w:r w:rsidRPr="00A11265">
        <w:rPr>
          <w:rFonts w:asciiTheme="minorHAnsi" w:hAnsiTheme="minorHAnsi" w:cs="Arial"/>
        </w:rPr>
        <w:t xml:space="preserve"> </w:t>
      </w:r>
      <w:proofErr w:type="spellStart"/>
      <w:r w:rsidRPr="00A11265">
        <w:rPr>
          <w:rFonts w:asciiTheme="minorHAnsi" w:hAnsiTheme="minorHAnsi" w:cs="Arial"/>
        </w:rPr>
        <w:t>RoCoF</w:t>
      </w:r>
      <w:proofErr w:type="spellEnd"/>
      <w:r w:rsidRPr="00A11265">
        <w:rPr>
          <w:rFonts w:asciiTheme="minorHAnsi" w:hAnsiTheme="minorHAnsi" w:cs="Arial"/>
        </w:rPr>
        <w:t>, would require a response within 1.5 s</w:t>
      </w:r>
      <w:r w:rsidR="00831078" w:rsidRPr="00A11265">
        <w:rPr>
          <w:rFonts w:asciiTheme="minorHAnsi" w:hAnsiTheme="minorHAnsi" w:cs="Arial"/>
        </w:rPr>
        <w:t>econds</w:t>
      </w:r>
      <w:r w:rsidRPr="00A11265">
        <w:rPr>
          <w:rFonts w:asciiTheme="minorHAnsi" w:hAnsiTheme="minorHAnsi" w:cs="Arial"/>
        </w:rPr>
        <w:t xml:space="preserve"> to prevent a frequency nadir below 47 Hz, or a response within 1</w:t>
      </w:r>
      <w:r w:rsidR="00831078" w:rsidRPr="00A11265">
        <w:rPr>
          <w:rFonts w:asciiTheme="minorHAnsi" w:hAnsiTheme="minorHAnsi" w:cs="Arial"/>
        </w:rPr>
        <w:t xml:space="preserve"> second</w:t>
      </w:r>
      <w:r w:rsidRPr="00A11265">
        <w:rPr>
          <w:rFonts w:asciiTheme="minorHAnsi" w:hAnsiTheme="minorHAnsi" w:cs="Arial"/>
        </w:rPr>
        <w:t xml:space="preserve"> to prevent an over frequency event exceeding 52 Hz. </w:t>
      </w:r>
    </w:p>
    <w:p w14:paraId="1F9D4E9C" w14:textId="17008D57" w:rsidR="00042F24" w:rsidRPr="00A11265" w:rsidRDefault="00042F24" w:rsidP="00042F24">
      <w:pPr>
        <w:rPr>
          <w:rFonts w:asciiTheme="minorHAnsi" w:hAnsiTheme="minorHAnsi" w:cs="Arial"/>
        </w:rPr>
      </w:pPr>
      <w:r w:rsidRPr="00A11265">
        <w:rPr>
          <w:rFonts w:asciiTheme="minorHAnsi" w:hAnsiTheme="minorHAnsi" w:cs="Arial"/>
        </w:rPr>
        <w:t xml:space="preserve">The requirement to procure a </w:t>
      </w:r>
      <w:r w:rsidR="004D3CDC" w:rsidRPr="00A11265">
        <w:rPr>
          <w:rFonts w:asciiTheme="minorHAnsi" w:hAnsiTheme="minorHAnsi" w:cs="Arial"/>
        </w:rPr>
        <w:t>‘</w:t>
      </w:r>
      <w:r w:rsidRPr="00A11265">
        <w:rPr>
          <w:rFonts w:asciiTheme="minorHAnsi" w:hAnsiTheme="minorHAnsi" w:cs="Arial"/>
        </w:rPr>
        <w:t>slow</w:t>
      </w:r>
      <w:r w:rsidR="004D3CDC" w:rsidRPr="00A11265">
        <w:rPr>
          <w:rFonts w:asciiTheme="minorHAnsi" w:hAnsiTheme="minorHAnsi" w:cs="Arial"/>
        </w:rPr>
        <w:t>’</w:t>
      </w:r>
      <w:r w:rsidRPr="00A11265">
        <w:rPr>
          <w:rFonts w:asciiTheme="minorHAnsi" w:hAnsiTheme="minorHAnsi" w:cs="Arial"/>
        </w:rPr>
        <w:t xml:space="preserve"> or </w:t>
      </w:r>
      <w:r w:rsidR="004D3CDC" w:rsidRPr="00A11265">
        <w:rPr>
          <w:rFonts w:asciiTheme="minorHAnsi" w:hAnsiTheme="minorHAnsi" w:cs="Arial"/>
        </w:rPr>
        <w:t>‘</w:t>
      </w:r>
      <w:r w:rsidRPr="00A11265">
        <w:rPr>
          <w:rFonts w:asciiTheme="minorHAnsi" w:hAnsiTheme="minorHAnsi" w:cs="Arial"/>
        </w:rPr>
        <w:t>delayed</w:t>
      </w:r>
      <w:r w:rsidR="004D3CDC" w:rsidRPr="00A11265">
        <w:rPr>
          <w:rFonts w:asciiTheme="minorHAnsi" w:hAnsiTheme="minorHAnsi" w:cs="Arial"/>
        </w:rPr>
        <w:t>’</w:t>
      </w:r>
      <w:r w:rsidRPr="00A11265">
        <w:rPr>
          <w:rFonts w:asciiTheme="minorHAnsi" w:hAnsiTheme="minorHAnsi" w:cs="Arial"/>
        </w:rPr>
        <w:t xml:space="preserve"> service, as currently specified in the SSG</w:t>
      </w:r>
      <w:r w:rsidR="00901D6D">
        <w:rPr>
          <w:rFonts w:asciiTheme="minorHAnsi" w:hAnsiTheme="minorHAnsi" w:cs="Arial"/>
        </w:rPr>
        <w:t>,</w:t>
      </w:r>
      <w:r w:rsidRPr="00A11265">
        <w:rPr>
          <w:rFonts w:asciiTheme="minorHAnsi" w:hAnsiTheme="minorHAnsi" w:cs="Arial"/>
        </w:rPr>
        <w:t xml:space="preserve"> is to establish a new settled frequency close to 50 Hz, inside the normal frequency operating band. This requirement is unnecessary if sufficient </w:t>
      </w:r>
      <w:r w:rsidR="004D3CDC" w:rsidRPr="00A11265">
        <w:rPr>
          <w:rFonts w:asciiTheme="minorHAnsi" w:hAnsiTheme="minorHAnsi" w:cs="Arial"/>
        </w:rPr>
        <w:t>‘</w:t>
      </w:r>
      <w:r w:rsidRPr="00A11265">
        <w:rPr>
          <w:rFonts w:asciiTheme="minorHAnsi" w:hAnsiTheme="minorHAnsi" w:cs="Arial"/>
        </w:rPr>
        <w:t>fast</w:t>
      </w:r>
      <w:r w:rsidR="004D3CDC" w:rsidRPr="00A11265">
        <w:rPr>
          <w:rFonts w:asciiTheme="minorHAnsi" w:hAnsiTheme="minorHAnsi" w:cs="Arial"/>
        </w:rPr>
        <w:t>’</w:t>
      </w:r>
      <w:r w:rsidRPr="00A11265">
        <w:rPr>
          <w:rFonts w:asciiTheme="minorHAnsi" w:hAnsiTheme="minorHAnsi" w:cs="Arial"/>
        </w:rPr>
        <w:t xml:space="preserve"> response can be procured to accomplish this requirement. The rationale behind procuring separated contingency services by speed has historically been to do with the technologies capable of providing a contingency response. Providers with slower responding equipment may form a more competitive market for the slower services. For example,</w:t>
      </w:r>
      <w:r w:rsidR="004D3CDC" w:rsidRPr="00A11265">
        <w:rPr>
          <w:rFonts w:asciiTheme="minorHAnsi" w:hAnsiTheme="minorHAnsi" w:cs="Arial"/>
        </w:rPr>
        <w:t xml:space="preserve"> although </w:t>
      </w:r>
      <w:r w:rsidRPr="00A11265">
        <w:rPr>
          <w:rFonts w:asciiTheme="minorHAnsi" w:hAnsiTheme="minorHAnsi" w:cs="Arial"/>
        </w:rPr>
        <w:t xml:space="preserve">batteries or modern gas plant governors may be the only equipment capable of providing a </w:t>
      </w:r>
      <w:r w:rsidR="00831078" w:rsidRPr="00A11265">
        <w:rPr>
          <w:rFonts w:asciiTheme="minorHAnsi" w:hAnsiTheme="minorHAnsi" w:cs="Arial"/>
        </w:rPr>
        <w:t>‘</w:t>
      </w:r>
      <w:r w:rsidRPr="00A11265">
        <w:rPr>
          <w:rFonts w:asciiTheme="minorHAnsi" w:hAnsiTheme="minorHAnsi" w:cs="Arial"/>
        </w:rPr>
        <w:t>fast</w:t>
      </w:r>
      <w:r w:rsidR="00831078" w:rsidRPr="00A11265">
        <w:rPr>
          <w:rFonts w:asciiTheme="minorHAnsi" w:hAnsiTheme="minorHAnsi" w:cs="Arial"/>
        </w:rPr>
        <w:t>’</w:t>
      </w:r>
      <w:r w:rsidRPr="00A11265">
        <w:rPr>
          <w:rFonts w:asciiTheme="minorHAnsi" w:hAnsiTheme="minorHAnsi" w:cs="Arial"/>
        </w:rPr>
        <w:t xml:space="preserve"> active power response, </w:t>
      </w:r>
      <w:r w:rsidR="005C3583">
        <w:rPr>
          <w:rFonts w:asciiTheme="minorHAnsi" w:hAnsiTheme="minorHAnsi" w:cs="Arial"/>
        </w:rPr>
        <w:t xml:space="preserve">they </w:t>
      </w:r>
      <w:r w:rsidRPr="00A11265">
        <w:rPr>
          <w:rFonts w:asciiTheme="minorHAnsi" w:hAnsiTheme="minorHAnsi" w:cs="Arial"/>
        </w:rPr>
        <w:t>cannot sustain this level of output for long</w:t>
      </w:r>
      <w:r w:rsidR="005C3583">
        <w:rPr>
          <w:rFonts w:asciiTheme="minorHAnsi" w:hAnsiTheme="minorHAnsi" w:cs="Arial"/>
        </w:rPr>
        <w:t>. O</w:t>
      </w:r>
      <w:r w:rsidR="005C3583" w:rsidRPr="00A11265">
        <w:rPr>
          <w:rFonts w:asciiTheme="minorHAnsi" w:hAnsiTheme="minorHAnsi" w:cs="Arial"/>
        </w:rPr>
        <w:t>lder coal</w:t>
      </w:r>
      <w:r w:rsidR="00901D6D">
        <w:rPr>
          <w:rFonts w:asciiTheme="minorHAnsi" w:hAnsiTheme="minorHAnsi" w:cs="Arial"/>
        </w:rPr>
        <w:t>-</w:t>
      </w:r>
      <w:r w:rsidR="005C3583" w:rsidRPr="00A11265">
        <w:rPr>
          <w:rFonts w:asciiTheme="minorHAnsi" w:hAnsiTheme="minorHAnsi" w:cs="Arial"/>
        </w:rPr>
        <w:t>fired generators</w:t>
      </w:r>
      <w:r w:rsidR="00901D6D">
        <w:rPr>
          <w:rFonts w:asciiTheme="minorHAnsi" w:hAnsiTheme="minorHAnsi" w:cs="Arial"/>
        </w:rPr>
        <w:t>’</w:t>
      </w:r>
      <w:r w:rsidR="005C3583" w:rsidRPr="00A11265">
        <w:rPr>
          <w:rFonts w:asciiTheme="minorHAnsi" w:hAnsiTheme="minorHAnsi" w:cs="Arial"/>
        </w:rPr>
        <w:t xml:space="preserve"> governors may be capable of providing a slower response</w:t>
      </w:r>
      <w:r w:rsidR="005C3583">
        <w:rPr>
          <w:rFonts w:asciiTheme="minorHAnsi" w:hAnsiTheme="minorHAnsi" w:cs="Arial"/>
        </w:rPr>
        <w:t>, and maintain it over a longer period</w:t>
      </w:r>
      <w:r w:rsidR="00831078" w:rsidRPr="00A11265">
        <w:rPr>
          <w:rFonts w:asciiTheme="minorHAnsi" w:hAnsiTheme="minorHAnsi" w:cs="Arial"/>
        </w:rPr>
        <w:t>.</w:t>
      </w:r>
      <w:r w:rsidRPr="00A11265">
        <w:rPr>
          <w:rFonts w:asciiTheme="minorHAnsi" w:hAnsiTheme="minorHAnsi" w:cs="Arial"/>
        </w:rPr>
        <w:t xml:space="preserve"> </w:t>
      </w:r>
      <w:r w:rsidR="00831078" w:rsidRPr="00A11265">
        <w:rPr>
          <w:rFonts w:asciiTheme="minorHAnsi" w:hAnsiTheme="minorHAnsi" w:cs="Arial"/>
        </w:rPr>
        <w:t>H</w:t>
      </w:r>
      <w:r w:rsidRPr="00A11265">
        <w:rPr>
          <w:rFonts w:asciiTheme="minorHAnsi" w:hAnsiTheme="minorHAnsi" w:cs="Arial"/>
        </w:rPr>
        <w:t xml:space="preserve">ence </w:t>
      </w:r>
      <w:r w:rsidR="00607C91" w:rsidRPr="00A11265">
        <w:rPr>
          <w:rFonts w:asciiTheme="minorHAnsi" w:hAnsiTheme="minorHAnsi" w:cs="Arial"/>
        </w:rPr>
        <w:t>automatic generation</w:t>
      </w:r>
      <w:r w:rsidRPr="00A11265">
        <w:rPr>
          <w:rFonts w:asciiTheme="minorHAnsi" w:hAnsiTheme="minorHAnsi" w:cs="Arial"/>
        </w:rPr>
        <w:t xml:space="preserve"> control of generators may be required to provide a </w:t>
      </w:r>
      <w:r w:rsidR="00607C91" w:rsidRPr="00A11265">
        <w:rPr>
          <w:rFonts w:asciiTheme="minorHAnsi" w:hAnsiTheme="minorHAnsi" w:cs="Arial"/>
        </w:rPr>
        <w:t>‘</w:t>
      </w:r>
      <w:r w:rsidRPr="00A11265">
        <w:rPr>
          <w:rFonts w:asciiTheme="minorHAnsi" w:hAnsiTheme="minorHAnsi" w:cs="Arial"/>
        </w:rPr>
        <w:t>delayed</w:t>
      </w:r>
      <w:r w:rsidR="00607C91" w:rsidRPr="00A11265">
        <w:rPr>
          <w:rFonts w:asciiTheme="minorHAnsi" w:hAnsiTheme="minorHAnsi" w:cs="Arial"/>
        </w:rPr>
        <w:t>’</w:t>
      </w:r>
      <w:r w:rsidRPr="00A11265">
        <w:rPr>
          <w:rFonts w:asciiTheme="minorHAnsi" w:hAnsiTheme="minorHAnsi" w:cs="Arial"/>
        </w:rPr>
        <w:t xml:space="preserve"> response to return to 50 Hz or within the normal frequency operating band. Slower response may also be provided by contracted demand response whereby a load agrees to reduce consumption to correct an under</w:t>
      </w:r>
      <w:r w:rsidR="000363A3" w:rsidRPr="00A11265">
        <w:rPr>
          <w:rFonts w:asciiTheme="minorHAnsi" w:hAnsiTheme="minorHAnsi" w:cs="Arial"/>
        </w:rPr>
        <w:noBreakHyphen/>
      </w:r>
      <w:r w:rsidRPr="00A11265">
        <w:rPr>
          <w:rFonts w:asciiTheme="minorHAnsi" w:hAnsiTheme="minorHAnsi" w:cs="Arial"/>
        </w:rPr>
        <w:t>frequency event.</w:t>
      </w:r>
    </w:p>
    <w:p w14:paraId="79ED5D96" w14:textId="77777777" w:rsidR="00042F24" w:rsidRPr="00A11265" w:rsidRDefault="00042F24" w:rsidP="00D9724C">
      <w:pPr>
        <w:keepNext/>
        <w:rPr>
          <w:rFonts w:asciiTheme="minorHAnsi" w:hAnsiTheme="minorHAnsi" w:cs="Arial"/>
          <w:i/>
        </w:rPr>
      </w:pPr>
      <w:r w:rsidRPr="00A11265">
        <w:rPr>
          <w:rFonts w:asciiTheme="minorHAnsi" w:hAnsiTheme="minorHAnsi" w:cs="Arial"/>
          <w:i/>
        </w:rPr>
        <w:t>Dynamic requirements</w:t>
      </w:r>
    </w:p>
    <w:p w14:paraId="222C2E1E" w14:textId="561433C7" w:rsidR="00042F24" w:rsidRPr="00A11265" w:rsidRDefault="00042F24" w:rsidP="00042F24">
      <w:pPr>
        <w:rPr>
          <w:rFonts w:asciiTheme="minorHAnsi" w:hAnsiTheme="minorHAnsi" w:cs="Arial"/>
        </w:rPr>
      </w:pPr>
      <w:r w:rsidRPr="00A11265">
        <w:rPr>
          <w:rFonts w:asciiTheme="minorHAnsi" w:hAnsiTheme="minorHAnsi" w:cs="Arial"/>
        </w:rPr>
        <w:t xml:space="preserve">Contingency frequency control raise and lower services should cater for the largest </w:t>
      </w:r>
      <w:r w:rsidR="00C46D94" w:rsidRPr="00A11265">
        <w:rPr>
          <w:rFonts w:asciiTheme="minorHAnsi" w:hAnsiTheme="minorHAnsi" w:cs="Arial"/>
        </w:rPr>
        <w:t>‘</w:t>
      </w:r>
      <w:r w:rsidRPr="00A11265">
        <w:rPr>
          <w:rFonts w:asciiTheme="minorHAnsi" w:hAnsiTheme="minorHAnsi" w:cs="Arial"/>
        </w:rPr>
        <w:t>credible</w:t>
      </w:r>
      <w:r w:rsidR="00C46D94" w:rsidRPr="00A11265">
        <w:rPr>
          <w:rFonts w:asciiTheme="minorHAnsi" w:hAnsiTheme="minorHAnsi" w:cs="Arial"/>
        </w:rPr>
        <w:t>’</w:t>
      </w:r>
      <w:r w:rsidRPr="00A11265">
        <w:rPr>
          <w:rFonts w:asciiTheme="minorHAnsi" w:hAnsiTheme="minorHAnsi" w:cs="Arial"/>
        </w:rPr>
        <w:t xml:space="preserve"> contingency event.</w:t>
      </w:r>
      <w:r w:rsidR="00C46D94" w:rsidRPr="00A11265">
        <w:rPr>
          <w:rStyle w:val="FootnoteReference"/>
          <w:rFonts w:asciiTheme="minorHAnsi" w:hAnsiTheme="minorHAnsi" w:cs="Arial"/>
        </w:rPr>
        <w:footnoteReference w:id="19"/>
      </w:r>
      <w:r w:rsidRPr="00A11265">
        <w:rPr>
          <w:rFonts w:asciiTheme="minorHAnsi" w:hAnsiTheme="minorHAnsi" w:cs="Arial"/>
        </w:rPr>
        <w:t xml:space="preserve"> Credible contingency events are typically events such as the loss of the largest generator, loss of a transmission element that also disconnects generation, or the loss of the largest load. </w:t>
      </w:r>
    </w:p>
    <w:p w14:paraId="13F1FAA9" w14:textId="30ABBAC6" w:rsidR="00042F24" w:rsidRPr="00A11265" w:rsidRDefault="00042F24" w:rsidP="00042F24">
      <w:pPr>
        <w:rPr>
          <w:rFonts w:asciiTheme="minorHAnsi" w:hAnsiTheme="minorHAnsi" w:cs="Arial"/>
        </w:rPr>
      </w:pPr>
      <w:r w:rsidRPr="00A11265">
        <w:rPr>
          <w:rFonts w:asciiTheme="minorHAnsi" w:hAnsiTheme="minorHAnsi" w:cs="Arial"/>
        </w:rPr>
        <w:t xml:space="preserve">The dispatch and load conditions of each </w:t>
      </w:r>
      <w:r w:rsidR="00901D6D">
        <w:rPr>
          <w:rFonts w:asciiTheme="minorHAnsi" w:hAnsiTheme="minorHAnsi" w:cs="Arial"/>
        </w:rPr>
        <w:t xml:space="preserve">of </w:t>
      </w:r>
      <w:r w:rsidRPr="00A11265">
        <w:rPr>
          <w:rFonts w:asciiTheme="minorHAnsi" w:hAnsiTheme="minorHAnsi" w:cs="Arial"/>
        </w:rPr>
        <w:t xml:space="preserve">the </w:t>
      </w:r>
      <w:r w:rsidR="00C46D94" w:rsidRPr="00A11265">
        <w:rPr>
          <w:rFonts w:asciiTheme="minorHAnsi" w:hAnsiTheme="minorHAnsi" w:cs="Arial"/>
        </w:rPr>
        <w:t>NT regulated system</w:t>
      </w:r>
      <w:r w:rsidR="002B53E5">
        <w:rPr>
          <w:rFonts w:asciiTheme="minorHAnsi" w:hAnsiTheme="minorHAnsi" w:cs="Arial"/>
        </w:rPr>
        <w:t>s</w:t>
      </w:r>
      <w:r w:rsidRPr="00A11265">
        <w:rPr>
          <w:rFonts w:asciiTheme="minorHAnsi" w:hAnsiTheme="minorHAnsi" w:cs="Arial"/>
        </w:rPr>
        <w:t xml:space="preserve"> varies, as do the credible contingency events that need to be considered. Securing against larger contingency events without load shedding will be more onerous and costly. A mechanism used in other power systems limits the maximum </w:t>
      </w:r>
      <w:r w:rsidRPr="00A11265">
        <w:rPr>
          <w:rFonts w:asciiTheme="minorHAnsi" w:hAnsiTheme="minorHAnsi" w:cs="Arial"/>
        </w:rPr>
        <w:lastRenderedPageBreak/>
        <w:t xml:space="preserve">loss of a single infeed to the system, to manage the impacts on required essential system services for both </w:t>
      </w:r>
      <w:proofErr w:type="spellStart"/>
      <w:r w:rsidRPr="00A11265">
        <w:rPr>
          <w:rFonts w:asciiTheme="minorHAnsi" w:hAnsiTheme="minorHAnsi" w:cs="Arial"/>
        </w:rPr>
        <w:t>RoCoF</w:t>
      </w:r>
      <w:proofErr w:type="spellEnd"/>
      <w:r w:rsidRPr="00A11265">
        <w:rPr>
          <w:rFonts w:asciiTheme="minorHAnsi" w:hAnsiTheme="minorHAnsi" w:cs="Arial"/>
        </w:rPr>
        <w:t xml:space="preserve"> and contingency response. Even where a transmission contingency sets the largest contingency event, as is the case on the Darwin-Katherine</w:t>
      </w:r>
      <w:r w:rsidR="009E1ABB" w:rsidRPr="00A11265">
        <w:rPr>
          <w:rFonts w:asciiTheme="minorHAnsi" w:hAnsiTheme="minorHAnsi" w:cs="Arial"/>
        </w:rPr>
        <w:t xml:space="preserve"> system</w:t>
      </w:r>
      <w:r w:rsidRPr="00A11265">
        <w:rPr>
          <w:rFonts w:asciiTheme="minorHAnsi" w:hAnsiTheme="minorHAnsi" w:cs="Arial"/>
        </w:rPr>
        <w:t>, a similar approach could be used to limit the aggregate dispatch across a number of generators to limit the transmission line flow and hence the size of the contingency.</w:t>
      </w:r>
    </w:p>
    <w:p w14:paraId="4529DCFE" w14:textId="1DF8316C" w:rsidR="00042F24" w:rsidRPr="00A11265" w:rsidRDefault="00042F24" w:rsidP="00042F24">
      <w:pPr>
        <w:rPr>
          <w:rFonts w:asciiTheme="minorHAnsi" w:hAnsiTheme="minorHAnsi" w:cs="Arial"/>
        </w:rPr>
      </w:pPr>
      <w:r w:rsidRPr="00A11265">
        <w:rPr>
          <w:rFonts w:asciiTheme="minorHAnsi" w:hAnsiTheme="minorHAnsi" w:cs="Arial"/>
        </w:rPr>
        <w:t xml:space="preserve">The most onerous system conditions and events will change over time as the system develops. Similarly, the appropriate volume of contingency frequency control raise and lower </w:t>
      </w:r>
      <w:r w:rsidR="00901D6D">
        <w:rPr>
          <w:rFonts w:asciiTheme="minorHAnsi" w:hAnsiTheme="minorHAnsi" w:cs="Arial"/>
        </w:rPr>
        <w:t xml:space="preserve">services </w:t>
      </w:r>
      <w:r w:rsidRPr="00A11265">
        <w:rPr>
          <w:rFonts w:asciiTheme="minorHAnsi" w:hAnsiTheme="minorHAnsi" w:cs="Arial"/>
        </w:rPr>
        <w:t xml:space="preserve">should be dynamically specified in line with system dispatch and load conditions. For example, where the most onerous single contingency event on a system is the loss of multiple solar power stations connected to a single transmission line, contingency response service will be required to secure against the loss of the line during the day. However, the MW loss from a fault on the transmission line will vary throughout the day as the output of the connected solar </w:t>
      </w:r>
      <w:r w:rsidR="000458F9">
        <w:rPr>
          <w:rFonts w:asciiTheme="minorHAnsi" w:hAnsiTheme="minorHAnsi" w:cs="Arial"/>
        </w:rPr>
        <w:t>PV</w:t>
      </w:r>
      <w:r w:rsidRPr="00A11265">
        <w:rPr>
          <w:rFonts w:asciiTheme="minorHAnsi" w:hAnsiTheme="minorHAnsi" w:cs="Arial"/>
        </w:rPr>
        <w:t xml:space="preserve"> change</w:t>
      </w:r>
      <w:r w:rsidR="000458F9">
        <w:rPr>
          <w:rFonts w:asciiTheme="minorHAnsi" w:hAnsiTheme="minorHAnsi" w:cs="Arial"/>
        </w:rPr>
        <w:t>s</w:t>
      </w:r>
      <w:r w:rsidRPr="00A11265">
        <w:rPr>
          <w:rFonts w:asciiTheme="minorHAnsi" w:hAnsiTheme="minorHAnsi" w:cs="Arial"/>
        </w:rPr>
        <w:t xml:space="preserve">. The essential system service volume required to secure against the loss of the line will therefore also change across the day. Therefore, a dynamic requirement will be able to avoid the over procurement of the raise and lower services. </w:t>
      </w:r>
    </w:p>
    <w:p w14:paraId="5C523BE0" w14:textId="578023FE" w:rsidR="00042F24" w:rsidRPr="00A11265" w:rsidRDefault="00042F24" w:rsidP="00D24B1D">
      <w:pPr>
        <w:pStyle w:val="Heading4"/>
      </w:pPr>
      <w:r w:rsidRPr="00A11265">
        <w:t>Regulating frequency control service</w:t>
      </w:r>
    </w:p>
    <w:p w14:paraId="59CFF9C2" w14:textId="558CB242" w:rsidR="00042F24" w:rsidRPr="00A11265" w:rsidRDefault="00042F24" w:rsidP="00042F24">
      <w:pPr>
        <w:rPr>
          <w:rFonts w:asciiTheme="minorHAnsi" w:hAnsiTheme="minorHAnsi" w:cs="Arial"/>
        </w:rPr>
      </w:pPr>
      <w:r w:rsidRPr="00A11265">
        <w:rPr>
          <w:rFonts w:asciiTheme="minorHAnsi" w:hAnsiTheme="minorHAnsi" w:cs="Arial"/>
        </w:rPr>
        <w:t xml:space="preserve">Regulating frequency control is required to maintain frequency at close to 50 Hz, within the normal frequency operating band specified in the SSG. </w:t>
      </w:r>
      <w:r w:rsidR="00B47D64" w:rsidRPr="00A11265">
        <w:rPr>
          <w:rFonts w:asciiTheme="minorHAnsi" w:hAnsiTheme="minorHAnsi" w:cs="Arial"/>
        </w:rPr>
        <w:t>Although</w:t>
      </w:r>
      <w:r w:rsidRPr="00A11265">
        <w:rPr>
          <w:rFonts w:asciiTheme="minorHAnsi" w:hAnsiTheme="minorHAnsi" w:cs="Arial"/>
        </w:rPr>
        <w:t xml:space="preserve"> demand and supply are matched with every </w:t>
      </w:r>
      <w:proofErr w:type="spellStart"/>
      <w:r w:rsidRPr="00A11265">
        <w:rPr>
          <w:rFonts w:asciiTheme="minorHAnsi" w:hAnsiTheme="minorHAnsi" w:cs="Arial"/>
        </w:rPr>
        <w:t>redispatch</w:t>
      </w:r>
      <w:proofErr w:type="spellEnd"/>
      <w:r w:rsidRPr="00A11265">
        <w:rPr>
          <w:rFonts w:asciiTheme="minorHAnsi" w:hAnsiTheme="minorHAnsi" w:cs="Arial"/>
        </w:rPr>
        <w:t xml:space="preserve"> of generation, small changes in system load and output variation from unregulated generation occurring between dispatch </w:t>
      </w:r>
      <w:r w:rsidR="008E70A5">
        <w:rPr>
          <w:rFonts w:asciiTheme="minorHAnsi" w:hAnsiTheme="minorHAnsi" w:cs="Arial"/>
        </w:rPr>
        <w:t>instructions taking effect</w:t>
      </w:r>
      <w:r w:rsidRPr="00A11265">
        <w:rPr>
          <w:rFonts w:asciiTheme="minorHAnsi" w:hAnsiTheme="minorHAnsi" w:cs="Arial"/>
        </w:rPr>
        <w:t xml:space="preserve"> must be managed by a regulating frequency control service. </w:t>
      </w:r>
    </w:p>
    <w:p w14:paraId="09F6A108" w14:textId="77777777" w:rsidR="00042F24" w:rsidRPr="00A11265" w:rsidRDefault="00042F24" w:rsidP="00042F24">
      <w:pPr>
        <w:rPr>
          <w:rFonts w:asciiTheme="minorHAnsi" w:hAnsiTheme="minorHAnsi" w:cs="Arial"/>
          <w:i/>
        </w:rPr>
      </w:pPr>
      <w:r w:rsidRPr="00A11265">
        <w:rPr>
          <w:rFonts w:asciiTheme="minorHAnsi" w:hAnsiTheme="minorHAnsi" w:cs="Arial"/>
          <w:i/>
        </w:rPr>
        <w:t>Dispatch period interaction</w:t>
      </w:r>
    </w:p>
    <w:p w14:paraId="558C5C0A" w14:textId="6BE74C50" w:rsidR="00042F24" w:rsidRPr="00A11265" w:rsidRDefault="00042F24" w:rsidP="00042F24">
      <w:pPr>
        <w:rPr>
          <w:rFonts w:asciiTheme="minorHAnsi" w:hAnsiTheme="minorHAnsi" w:cs="Arial"/>
        </w:rPr>
      </w:pPr>
      <w:r w:rsidRPr="00A11265">
        <w:rPr>
          <w:rFonts w:asciiTheme="minorHAnsi" w:hAnsiTheme="minorHAnsi" w:cs="Arial"/>
        </w:rPr>
        <w:t>In relatively small power systems such as the NT regulated systems, the amount of regulation service available at any time needs to be sufficient to provide the regulation requirement over the period it would take to bring another regulation service online. The regulation requirement is therefore set by the time expected to bring additional services online and the extent of variation in demand expected across that time. The requirement is therefore unlikely to change significantly unless the technology relied on to provide the service changes. Technology change could reduce the average time taken for service providers to come online and hence allow a lower R-FCAS requirement.</w:t>
      </w:r>
      <w:r w:rsidR="0078356C">
        <w:rPr>
          <w:rFonts w:asciiTheme="minorHAnsi" w:hAnsiTheme="minorHAnsi" w:cs="Arial"/>
        </w:rPr>
        <w:t xml:space="preserve"> </w:t>
      </w:r>
      <w:r w:rsidR="0078356C" w:rsidRPr="00C439F0">
        <w:t xml:space="preserve">The current approach to scheduling and dispatch, allows the System Controller to </w:t>
      </w:r>
      <w:proofErr w:type="spellStart"/>
      <w:r w:rsidR="0078356C" w:rsidRPr="00C439F0">
        <w:t>redispatch</w:t>
      </w:r>
      <w:proofErr w:type="spellEnd"/>
      <w:r w:rsidR="0078356C" w:rsidRPr="00C439F0">
        <w:t xml:space="preserve"> the system on an as</w:t>
      </w:r>
      <w:r w:rsidR="0078356C">
        <w:t>-</w:t>
      </w:r>
      <w:r w:rsidR="0078356C" w:rsidRPr="00C439F0">
        <w:t xml:space="preserve">required basis. This process allows </w:t>
      </w:r>
      <w:proofErr w:type="spellStart"/>
      <w:r w:rsidR="0078356C" w:rsidRPr="00C439F0">
        <w:t>redispatch</w:t>
      </w:r>
      <w:proofErr w:type="spellEnd"/>
      <w:r w:rsidR="0078356C" w:rsidRPr="00C439F0">
        <w:t xml:space="preserve"> to be used when necessary to replenish the available regulation services. Sufficient service is however required to allow time for the </w:t>
      </w:r>
      <w:proofErr w:type="spellStart"/>
      <w:r w:rsidR="0078356C" w:rsidRPr="00C439F0">
        <w:t>redispatch</w:t>
      </w:r>
      <w:proofErr w:type="spellEnd"/>
      <w:r w:rsidR="0078356C" w:rsidRPr="00C439F0">
        <w:t xml:space="preserve"> to take effect.</w:t>
      </w:r>
    </w:p>
    <w:p w14:paraId="02A5C4A6" w14:textId="237566CF" w:rsidR="00042F24" w:rsidRPr="00A11265" w:rsidRDefault="00042F24" w:rsidP="00D24B1D">
      <w:pPr>
        <w:pStyle w:val="Heading4"/>
      </w:pPr>
      <w:bookmarkStart w:id="140" w:name="_Toc58207509"/>
      <w:bookmarkStart w:id="141" w:name="_Toc58207513"/>
      <w:bookmarkEnd w:id="140"/>
      <w:bookmarkEnd w:id="141"/>
      <w:r w:rsidRPr="00A11265">
        <w:t>Voltage management / Network support</w:t>
      </w:r>
    </w:p>
    <w:p w14:paraId="2C75CF6D" w14:textId="0C955958" w:rsidR="00042F24" w:rsidRPr="00A11265" w:rsidRDefault="00042F24" w:rsidP="00042F24">
      <w:pPr>
        <w:rPr>
          <w:rFonts w:asciiTheme="minorHAnsi" w:hAnsiTheme="minorHAnsi" w:cs="Arial"/>
        </w:rPr>
      </w:pPr>
      <w:r w:rsidRPr="00A11265">
        <w:rPr>
          <w:rFonts w:asciiTheme="minorHAnsi" w:hAnsiTheme="minorHAnsi" w:cs="Arial"/>
        </w:rPr>
        <w:t>Transmission level voltages on a power system are typically managed through a combination of reactive power control from connected generation, and ancillary reactive compensation equipment, including capacitor banks, Static Volt Ampere Reactance (</w:t>
      </w:r>
      <w:r w:rsidR="00173137" w:rsidRPr="00A11265">
        <w:rPr>
          <w:rFonts w:asciiTheme="minorHAnsi" w:hAnsiTheme="minorHAnsi" w:cs="Arial"/>
        </w:rPr>
        <w:t>‘</w:t>
      </w:r>
      <w:r w:rsidRPr="00A11265">
        <w:rPr>
          <w:rFonts w:asciiTheme="minorHAnsi" w:hAnsiTheme="minorHAnsi" w:cs="Arial"/>
        </w:rPr>
        <w:t>VAR</w:t>
      </w:r>
      <w:r w:rsidR="00173137" w:rsidRPr="00A11265">
        <w:rPr>
          <w:rFonts w:asciiTheme="minorHAnsi" w:hAnsiTheme="minorHAnsi" w:cs="Arial"/>
        </w:rPr>
        <w:t>’</w:t>
      </w:r>
      <w:r w:rsidRPr="00A11265">
        <w:rPr>
          <w:rFonts w:asciiTheme="minorHAnsi" w:hAnsiTheme="minorHAnsi" w:cs="Arial"/>
        </w:rPr>
        <w:t>) Compensators (SVCs) and Static Synchronous Compensators (STATCOMs).</w:t>
      </w:r>
    </w:p>
    <w:p w14:paraId="3EA34824" w14:textId="1626EA7E" w:rsidR="00042F24" w:rsidRPr="00A11265" w:rsidRDefault="00042F24" w:rsidP="00042F24">
      <w:pPr>
        <w:rPr>
          <w:rFonts w:asciiTheme="minorHAnsi" w:hAnsiTheme="minorHAnsi" w:cs="Arial"/>
        </w:rPr>
      </w:pPr>
      <w:r w:rsidRPr="00A11265">
        <w:rPr>
          <w:rFonts w:asciiTheme="minorHAnsi" w:hAnsiTheme="minorHAnsi" w:cs="Arial"/>
        </w:rPr>
        <w:t xml:space="preserve">Most voltage issues are resolved at a planning stage by the </w:t>
      </w:r>
      <w:r w:rsidR="00111474" w:rsidRPr="00A11265">
        <w:rPr>
          <w:rFonts w:asciiTheme="minorHAnsi" w:hAnsiTheme="minorHAnsi" w:cs="Arial"/>
        </w:rPr>
        <w:t>N</w:t>
      </w:r>
      <w:r w:rsidRPr="00A11265">
        <w:rPr>
          <w:rFonts w:asciiTheme="minorHAnsi" w:hAnsiTheme="minorHAnsi" w:cs="Arial"/>
        </w:rPr>
        <w:t xml:space="preserve">etwork </w:t>
      </w:r>
      <w:r w:rsidR="00111474" w:rsidRPr="00A11265">
        <w:rPr>
          <w:rFonts w:asciiTheme="minorHAnsi" w:hAnsiTheme="minorHAnsi" w:cs="Arial"/>
        </w:rPr>
        <w:t>O</w:t>
      </w:r>
      <w:r w:rsidRPr="00A11265">
        <w:rPr>
          <w:rFonts w:asciiTheme="minorHAnsi" w:hAnsiTheme="minorHAnsi" w:cs="Arial"/>
        </w:rPr>
        <w:t>perator through specification of sufficient reactive compensation equipment or through the existing G</w:t>
      </w:r>
      <w:r w:rsidR="00956A2B" w:rsidRPr="00A11265">
        <w:rPr>
          <w:rFonts w:asciiTheme="minorHAnsi" w:hAnsiTheme="minorHAnsi" w:cs="Arial"/>
        </w:rPr>
        <w:t>PS</w:t>
      </w:r>
      <w:r w:rsidRPr="00A11265">
        <w:rPr>
          <w:rFonts w:asciiTheme="minorHAnsi" w:hAnsiTheme="minorHAnsi" w:cs="Arial"/>
        </w:rPr>
        <w:t xml:space="preserve"> in connection agreements.</w:t>
      </w:r>
      <w:r w:rsidR="00A27E15" w:rsidRPr="00A11265">
        <w:rPr>
          <w:rFonts w:asciiTheme="minorHAnsi" w:hAnsiTheme="minorHAnsi" w:cs="Arial"/>
        </w:rPr>
        <w:t xml:space="preserve"> Network capacity constraints are typically also resolved at a planning stage, but may become a more significant issue due to temporary equipment outages.</w:t>
      </w:r>
    </w:p>
    <w:p w14:paraId="191358C2" w14:textId="2A5E3792" w:rsidR="00042F24" w:rsidRPr="00A11265" w:rsidRDefault="00042F24" w:rsidP="00042F24">
      <w:pPr>
        <w:rPr>
          <w:rFonts w:asciiTheme="minorHAnsi" w:hAnsiTheme="minorHAnsi" w:cs="Arial"/>
        </w:rPr>
      </w:pPr>
      <w:r w:rsidRPr="00A11265">
        <w:rPr>
          <w:rFonts w:asciiTheme="minorHAnsi" w:hAnsiTheme="minorHAnsi" w:cs="Arial"/>
        </w:rPr>
        <w:t>Freedom to procure a voltage management service from a generator producing no active power, or a network support service by constraining on a generator</w:t>
      </w:r>
      <w:r w:rsidR="00901D6D">
        <w:rPr>
          <w:rFonts w:asciiTheme="minorHAnsi" w:hAnsiTheme="minorHAnsi" w:cs="Arial"/>
        </w:rPr>
        <w:t>,</w:t>
      </w:r>
      <w:r w:rsidRPr="00A11265">
        <w:rPr>
          <w:rFonts w:asciiTheme="minorHAnsi" w:hAnsiTheme="minorHAnsi" w:cs="Arial"/>
        </w:rPr>
        <w:t xml:space="preserve"> may therefore have key advantages for the system, namely the opportunity to appropriately optimise between procurement of essential system services and alternative system reinforcement solutions. </w:t>
      </w:r>
    </w:p>
    <w:p w14:paraId="1640CF7D" w14:textId="46BB880D" w:rsidR="00042F24" w:rsidRPr="00A11265" w:rsidRDefault="00042F24" w:rsidP="00042F24">
      <w:pPr>
        <w:rPr>
          <w:rFonts w:asciiTheme="minorHAnsi" w:hAnsiTheme="minorHAnsi" w:cs="Arial"/>
        </w:rPr>
      </w:pPr>
      <w:r w:rsidRPr="00A11265">
        <w:rPr>
          <w:rFonts w:asciiTheme="minorHAnsi" w:hAnsiTheme="minorHAnsi" w:cs="Arial"/>
        </w:rPr>
        <w:lastRenderedPageBreak/>
        <w:t xml:space="preserve">Where an essential system service for voltage management or network support is not defined, the network operator will be forced to manage voltage or capacity issues through reinforcement, which may result in the requirement for procurement of more expensive solutions such as installation of SVCs and STATCOMs for reactive power support, or through conventional capacity reinforcements such as larger cables / overhead lines. A holistic approach that considers all technical solutions would result in overall lower costs for the consumer in the </w:t>
      </w:r>
      <w:r w:rsidR="002577E7" w:rsidRPr="00A11265">
        <w:rPr>
          <w:rFonts w:asciiTheme="minorHAnsi" w:hAnsiTheme="minorHAnsi" w:cs="Arial"/>
        </w:rPr>
        <w:t>NT</w:t>
      </w:r>
      <w:r w:rsidRPr="00A11265">
        <w:rPr>
          <w:rFonts w:asciiTheme="minorHAnsi" w:hAnsiTheme="minorHAnsi" w:cs="Arial"/>
        </w:rPr>
        <w:t xml:space="preserve"> by avoiding reinforcement costs where a lower cost solution is available.</w:t>
      </w:r>
    </w:p>
    <w:p w14:paraId="67C62791" w14:textId="79D5659B" w:rsidR="00042F24" w:rsidRPr="00A11265" w:rsidRDefault="00042F24" w:rsidP="00D24B1D">
      <w:pPr>
        <w:pStyle w:val="Heading4"/>
      </w:pPr>
      <w:bookmarkStart w:id="142" w:name="_Toc58207519"/>
      <w:bookmarkStart w:id="143" w:name="_Toc58207521"/>
      <w:bookmarkEnd w:id="142"/>
      <w:bookmarkEnd w:id="143"/>
      <w:r w:rsidRPr="00A11265">
        <w:t>Restart services</w:t>
      </w:r>
    </w:p>
    <w:p w14:paraId="045F037C" w14:textId="77777777" w:rsidR="002577E7" w:rsidRPr="00A11265" w:rsidRDefault="00042F24" w:rsidP="00042F24">
      <w:pPr>
        <w:rPr>
          <w:rFonts w:asciiTheme="minorHAnsi" w:hAnsiTheme="minorHAnsi" w:cs="Arial"/>
        </w:rPr>
      </w:pPr>
      <w:r w:rsidRPr="00A11265">
        <w:rPr>
          <w:rFonts w:asciiTheme="minorHAnsi" w:hAnsiTheme="minorHAnsi" w:cs="Arial"/>
        </w:rPr>
        <w:t>Restart or black start services and associated procedures are a function of every power system. While not part of normal system operation, these services are essential for restoring power as soon as reasonably achievable after a system black event.</w:t>
      </w:r>
    </w:p>
    <w:p w14:paraId="37E8DC10" w14:textId="4D5321B8" w:rsidR="00042F24" w:rsidRPr="00A11265" w:rsidRDefault="002577E7" w:rsidP="00042F24">
      <w:pPr>
        <w:rPr>
          <w:rFonts w:asciiTheme="minorHAnsi" w:hAnsiTheme="minorHAnsi" w:cs="Arial"/>
        </w:rPr>
      </w:pPr>
      <w:r w:rsidRPr="00A11265">
        <w:rPr>
          <w:rFonts w:asciiTheme="minorHAnsi" w:hAnsiTheme="minorHAnsi" w:cs="Arial"/>
        </w:rPr>
        <w:t>There is no need to</w:t>
      </w:r>
      <w:r w:rsidR="00042F24" w:rsidRPr="00A11265">
        <w:rPr>
          <w:rFonts w:asciiTheme="minorHAnsi" w:hAnsiTheme="minorHAnsi" w:cs="Arial"/>
        </w:rPr>
        <w:t xml:space="preserve"> change the fundamental nature of the current black start </w:t>
      </w:r>
      <w:r w:rsidR="008B1D7D" w:rsidRPr="00A11265">
        <w:rPr>
          <w:rFonts w:asciiTheme="minorHAnsi" w:hAnsiTheme="minorHAnsi" w:cs="Arial"/>
        </w:rPr>
        <w:t>essential system</w:t>
      </w:r>
      <w:r w:rsidR="00042F24" w:rsidRPr="00A11265">
        <w:rPr>
          <w:rFonts w:asciiTheme="minorHAnsi" w:hAnsiTheme="minorHAnsi" w:cs="Arial"/>
        </w:rPr>
        <w:t xml:space="preserve"> services. However, the service and associated procedures defined in the SCTC and SSG require updating to reflect the changing conditions on the N</w:t>
      </w:r>
      <w:r w:rsidRPr="00A11265">
        <w:rPr>
          <w:rFonts w:asciiTheme="minorHAnsi" w:hAnsiTheme="minorHAnsi" w:cs="Arial"/>
        </w:rPr>
        <w:t>T</w:t>
      </w:r>
      <w:r w:rsidR="00042F24" w:rsidRPr="00A11265">
        <w:rPr>
          <w:rFonts w:asciiTheme="minorHAnsi" w:hAnsiTheme="minorHAnsi" w:cs="Arial"/>
        </w:rPr>
        <w:t xml:space="preserve"> regulated systems. In particular, the ability for new large-scale solar</w:t>
      </w:r>
      <w:r w:rsidR="000458F9">
        <w:rPr>
          <w:rFonts w:asciiTheme="minorHAnsi" w:hAnsiTheme="minorHAnsi" w:cs="Arial"/>
        </w:rPr>
        <w:t xml:space="preserve"> PV</w:t>
      </w:r>
      <w:r w:rsidR="00042F24" w:rsidRPr="00A11265">
        <w:rPr>
          <w:rFonts w:asciiTheme="minorHAnsi" w:hAnsiTheme="minorHAnsi" w:cs="Arial"/>
        </w:rPr>
        <w:t xml:space="preserve"> to provide the service should be considered.</w:t>
      </w:r>
    </w:p>
    <w:p w14:paraId="38D4B4E8" w14:textId="3E14C209" w:rsidR="00042F24" w:rsidRPr="00A11265" w:rsidRDefault="00042F24" w:rsidP="00D24B1D">
      <w:pPr>
        <w:pStyle w:val="Heading4"/>
      </w:pPr>
      <w:bookmarkStart w:id="144" w:name="_Toc58207528"/>
      <w:bookmarkStart w:id="145" w:name="_Toc58207533"/>
      <w:bookmarkEnd w:id="144"/>
      <w:bookmarkEnd w:id="145"/>
      <w:r w:rsidRPr="00A11265">
        <w:t>System strength</w:t>
      </w:r>
    </w:p>
    <w:p w14:paraId="532CF2AF" w14:textId="2B6FB0F1" w:rsidR="00042F24" w:rsidRPr="00A11265" w:rsidRDefault="00042F24" w:rsidP="00042F24">
      <w:pPr>
        <w:rPr>
          <w:rFonts w:asciiTheme="minorHAnsi" w:hAnsiTheme="minorHAnsi" w:cs="Arial"/>
        </w:rPr>
      </w:pPr>
      <w:r w:rsidRPr="00A11265">
        <w:rPr>
          <w:rFonts w:asciiTheme="minorHAnsi" w:hAnsiTheme="minorHAnsi" w:cs="Arial"/>
        </w:rPr>
        <w:t xml:space="preserve">The definition of an essential system service requirement for system strength may be desirable to manage issues that cannot be resolved in a cost effective manner through system reinforcement, or where issues arise that are not resolvable in planning timescales, such as unexpected generator breakdown or retirement. System strength shortfalls are likely to become an emerging issue on the NT regulated systems as </w:t>
      </w:r>
      <w:r w:rsidR="00740362">
        <w:rPr>
          <w:rFonts w:asciiTheme="minorHAnsi" w:hAnsiTheme="minorHAnsi" w:cs="Arial"/>
        </w:rPr>
        <w:t>traditional sync</w:t>
      </w:r>
      <w:r w:rsidR="00406969">
        <w:rPr>
          <w:rFonts w:asciiTheme="minorHAnsi" w:hAnsiTheme="minorHAnsi" w:cs="Arial"/>
        </w:rPr>
        <w:t>hronous generation is displaced</w:t>
      </w:r>
      <w:r w:rsidR="00740362">
        <w:rPr>
          <w:rFonts w:asciiTheme="minorHAnsi" w:hAnsiTheme="minorHAnsi" w:cs="Arial"/>
        </w:rPr>
        <w:t xml:space="preserve"> and/or replaced with </w:t>
      </w:r>
      <w:r w:rsidR="00074521">
        <w:rPr>
          <w:rFonts w:asciiTheme="minorHAnsi" w:hAnsiTheme="minorHAnsi" w:cs="Arial"/>
        </w:rPr>
        <w:t xml:space="preserve">a </w:t>
      </w:r>
      <w:r w:rsidR="00740362">
        <w:rPr>
          <w:rFonts w:asciiTheme="minorHAnsi" w:hAnsiTheme="minorHAnsi" w:cs="Arial"/>
        </w:rPr>
        <w:t>di</w:t>
      </w:r>
      <w:r w:rsidR="00406969">
        <w:rPr>
          <w:rFonts w:asciiTheme="minorHAnsi" w:hAnsiTheme="minorHAnsi" w:cs="Arial"/>
        </w:rPr>
        <w:t xml:space="preserve">fferent </w:t>
      </w:r>
      <w:r w:rsidRPr="00A11265">
        <w:rPr>
          <w:rFonts w:asciiTheme="minorHAnsi" w:hAnsiTheme="minorHAnsi" w:cs="Arial"/>
        </w:rPr>
        <w:t>generation mix, and the definition of a system strength essential system service will help manage this issue.</w:t>
      </w:r>
    </w:p>
    <w:p w14:paraId="7E670B92" w14:textId="01054742" w:rsidR="00042F24" w:rsidRPr="00A11265" w:rsidRDefault="00042F24" w:rsidP="00042F24">
      <w:pPr>
        <w:rPr>
          <w:rFonts w:asciiTheme="minorHAnsi" w:hAnsiTheme="minorHAnsi" w:cs="Arial"/>
        </w:rPr>
      </w:pPr>
      <w:r w:rsidRPr="00A11265">
        <w:rPr>
          <w:rFonts w:asciiTheme="minorHAnsi" w:hAnsiTheme="minorHAnsi" w:cs="Arial"/>
        </w:rPr>
        <w:t xml:space="preserve">Detailed electromagnetic transient studies are required to investigate system strength issues and identify optimal mitigation measures. The NTC requires that the Network Operator undertake those studies with provisions in the NTC ensuring that the Network Operator has access to the detailed models required. It is therefore appropriate that the Network Operator assess any requirement for a system strength essential system service. </w:t>
      </w:r>
    </w:p>
    <w:p w14:paraId="5666E6AB" w14:textId="525F1372" w:rsidR="00042F24" w:rsidRPr="00A11265" w:rsidRDefault="00042F24" w:rsidP="00D24B1D">
      <w:pPr>
        <w:pStyle w:val="Heading4"/>
      </w:pPr>
      <w:bookmarkStart w:id="146" w:name="_Toc58207537"/>
      <w:bookmarkStart w:id="147" w:name="_Toc58207538"/>
      <w:bookmarkStart w:id="148" w:name="_Toc58207539"/>
      <w:bookmarkStart w:id="149" w:name="_Toc58207540"/>
      <w:bookmarkStart w:id="150" w:name="_Toc58207541"/>
      <w:bookmarkStart w:id="151" w:name="_Toc58207542"/>
      <w:bookmarkStart w:id="152" w:name="_Toc58207545"/>
      <w:bookmarkEnd w:id="146"/>
      <w:bookmarkEnd w:id="147"/>
      <w:bookmarkEnd w:id="148"/>
      <w:bookmarkEnd w:id="149"/>
      <w:bookmarkEnd w:id="150"/>
      <w:bookmarkEnd w:id="151"/>
      <w:bookmarkEnd w:id="152"/>
      <w:r w:rsidRPr="00A11265">
        <w:t>Additional services</w:t>
      </w:r>
    </w:p>
    <w:p w14:paraId="44AC10E0" w14:textId="7A2DA73E" w:rsidR="00042F24" w:rsidRPr="00A11265" w:rsidRDefault="00042F24" w:rsidP="00042F24">
      <w:pPr>
        <w:rPr>
          <w:rFonts w:asciiTheme="minorHAnsi" w:hAnsiTheme="minorHAnsi" w:cs="Arial"/>
        </w:rPr>
      </w:pPr>
      <w:r w:rsidRPr="00A11265">
        <w:rPr>
          <w:rFonts w:asciiTheme="minorHAnsi" w:hAnsiTheme="minorHAnsi" w:cs="Arial"/>
        </w:rPr>
        <w:t>As a general principle, where a need for an additional essential</w:t>
      </w:r>
      <w:r w:rsidR="005D6811" w:rsidRPr="00A11265">
        <w:rPr>
          <w:rFonts w:asciiTheme="minorHAnsi" w:hAnsiTheme="minorHAnsi" w:cs="Arial"/>
        </w:rPr>
        <w:t xml:space="preserve"> system</w:t>
      </w:r>
      <w:r w:rsidRPr="00A11265">
        <w:rPr>
          <w:rFonts w:asciiTheme="minorHAnsi" w:hAnsiTheme="minorHAnsi" w:cs="Arial"/>
        </w:rPr>
        <w:t xml:space="preserve"> service is identified through a transparent and open framework, the framework should leave open the possibility to define additional essential system services as required to retain security of supply on the</w:t>
      </w:r>
      <w:r w:rsidR="00CC75B8" w:rsidRPr="00A11265">
        <w:rPr>
          <w:rFonts w:asciiTheme="minorHAnsi" w:hAnsiTheme="minorHAnsi" w:cs="Arial"/>
        </w:rPr>
        <w:t xml:space="preserve"> NT regulated</w:t>
      </w:r>
      <w:r w:rsidRPr="00A11265">
        <w:rPr>
          <w:rFonts w:asciiTheme="minorHAnsi" w:hAnsiTheme="minorHAnsi" w:cs="Arial"/>
        </w:rPr>
        <w:t xml:space="preserve"> systems. Additional services may be required going forward if they are considered to be an efficient and cost-effective approach to retain power system security and power quality compared to alternatives. </w:t>
      </w:r>
      <w:r w:rsidR="005D6811" w:rsidRPr="00A11265">
        <w:rPr>
          <w:rFonts w:asciiTheme="minorHAnsi" w:hAnsiTheme="minorHAnsi" w:cs="Arial"/>
        </w:rPr>
        <w:t>Examples of i</w:t>
      </w:r>
      <w:r w:rsidRPr="00A11265">
        <w:rPr>
          <w:rFonts w:asciiTheme="minorHAnsi" w:hAnsiTheme="minorHAnsi" w:cs="Arial"/>
        </w:rPr>
        <w:t>ssues that could arise on the power system requiring a defined essential system service inclu</w:t>
      </w:r>
      <w:r w:rsidR="005D6811" w:rsidRPr="00A11265">
        <w:rPr>
          <w:rFonts w:asciiTheme="minorHAnsi" w:hAnsiTheme="minorHAnsi" w:cs="Arial"/>
        </w:rPr>
        <w:t>de the following.</w:t>
      </w:r>
    </w:p>
    <w:p w14:paraId="6B4D7A30" w14:textId="1667DDB6" w:rsidR="001A6692" w:rsidRPr="00A11265" w:rsidRDefault="00042F24" w:rsidP="001F613E">
      <w:pPr>
        <w:pStyle w:val="ListParagraph"/>
        <w:numPr>
          <w:ilvl w:val="0"/>
          <w:numId w:val="11"/>
        </w:numPr>
        <w:spacing w:before="200"/>
        <w:ind w:left="426"/>
        <w:rPr>
          <w:rFonts w:cs="Arial"/>
        </w:rPr>
      </w:pPr>
      <w:r w:rsidRPr="00A11265">
        <w:rPr>
          <w:rFonts w:cs="Arial"/>
        </w:rPr>
        <w:t xml:space="preserve">Failure of installed generation ramping capability to meet a rapid increase in system load from midday to evening caused by </w:t>
      </w:r>
      <w:r w:rsidR="003B1810">
        <w:rPr>
          <w:rFonts w:cs="Arial"/>
        </w:rPr>
        <w:t>a reduction in distribution energy resource output</w:t>
      </w:r>
      <w:r w:rsidRPr="00A11265">
        <w:rPr>
          <w:rFonts w:cs="Arial"/>
        </w:rPr>
        <w:t>. While such an issue is not expected to present as an issue on the N</w:t>
      </w:r>
      <w:r w:rsidR="00CC75B8" w:rsidRPr="00A11265">
        <w:rPr>
          <w:rFonts w:cs="Arial"/>
        </w:rPr>
        <w:t>T</w:t>
      </w:r>
      <w:r w:rsidRPr="00A11265">
        <w:rPr>
          <w:rFonts w:cs="Arial"/>
        </w:rPr>
        <w:t xml:space="preserve"> regulated systems in the short term, freedom to procure a </w:t>
      </w:r>
      <w:r w:rsidR="00CC75B8" w:rsidRPr="00A11265">
        <w:rPr>
          <w:rFonts w:cs="Arial"/>
        </w:rPr>
        <w:t>‘</w:t>
      </w:r>
      <w:r w:rsidRPr="00A11265">
        <w:rPr>
          <w:rFonts w:cs="Arial"/>
        </w:rPr>
        <w:t>ramping service</w:t>
      </w:r>
      <w:r w:rsidR="00CC75B8" w:rsidRPr="00A11265">
        <w:rPr>
          <w:rFonts w:cs="Arial"/>
        </w:rPr>
        <w:t>’</w:t>
      </w:r>
      <w:r w:rsidRPr="00A11265">
        <w:rPr>
          <w:rFonts w:cs="Arial"/>
        </w:rPr>
        <w:t xml:space="preserve"> may be an efficient way to manage this issue if it arises</w:t>
      </w:r>
      <w:r w:rsidR="003B1810">
        <w:rPr>
          <w:rFonts w:cs="Arial"/>
        </w:rPr>
        <w:t xml:space="preserve"> and not sufficiently managed by regulating frequency control.</w:t>
      </w:r>
    </w:p>
    <w:p w14:paraId="39CE14D1" w14:textId="119F6665" w:rsidR="001A6692" w:rsidRPr="00A11265" w:rsidRDefault="00042F24" w:rsidP="001F613E">
      <w:pPr>
        <w:pStyle w:val="ListParagraph"/>
        <w:numPr>
          <w:ilvl w:val="0"/>
          <w:numId w:val="11"/>
        </w:numPr>
        <w:spacing w:before="200"/>
        <w:ind w:left="426"/>
        <w:rPr>
          <w:rFonts w:cs="Arial"/>
        </w:rPr>
      </w:pPr>
      <w:r w:rsidRPr="00A11265">
        <w:rPr>
          <w:rFonts w:cs="Arial"/>
        </w:rPr>
        <w:t>Generation exceeding load on the Alice Springs system solely due to the penetration of increased rooftop solar</w:t>
      </w:r>
      <w:r w:rsidR="005D6811" w:rsidRPr="00A11265">
        <w:rPr>
          <w:rFonts w:cs="Arial"/>
        </w:rPr>
        <w:t xml:space="preserve"> PV</w:t>
      </w:r>
      <w:r w:rsidRPr="00A11265">
        <w:rPr>
          <w:rFonts w:cs="Arial"/>
        </w:rPr>
        <w:t xml:space="preserve"> is possible within seven years. A </w:t>
      </w:r>
      <w:r w:rsidR="00CC75B8" w:rsidRPr="00A11265">
        <w:rPr>
          <w:rFonts w:cs="Arial"/>
        </w:rPr>
        <w:t>‘</w:t>
      </w:r>
      <w:r w:rsidRPr="00A11265">
        <w:rPr>
          <w:rFonts w:cs="Arial"/>
        </w:rPr>
        <w:t>load / demand management</w:t>
      </w:r>
      <w:r w:rsidR="00CC75B8" w:rsidRPr="00A11265">
        <w:rPr>
          <w:rFonts w:cs="Arial"/>
        </w:rPr>
        <w:t>’</w:t>
      </w:r>
      <w:r w:rsidRPr="00A11265">
        <w:rPr>
          <w:rFonts w:cs="Arial"/>
        </w:rPr>
        <w:t xml:space="preserve"> service</w:t>
      </w:r>
      <w:r w:rsidR="00CC75B8" w:rsidRPr="00A11265">
        <w:rPr>
          <w:rFonts w:cs="Arial"/>
        </w:rPr>
        <w:t>, for instance,</w:t>
      </w:r>
      <w:r w:rsidRPr="00A11265">
        <w:rPr>
          <w:rFonts w:cs="Arial"/>
        </w:rPr>
        <w:t xml:space="preserve"> paying loads to consume power at times of minimum demand, may be a cost-effective way to manage this outcome in the short term.</w:t>
      </w:r>
    </w:p>
    <w:p w14:paraId="631838C9" w14:textId="0B83143B" w:rsidR="001A6692" w:rsidRPr="00A11265" w:rsidRDefault="00E06B98" w:rsidP="00D24B1D">
      <w:pPr>
        <w:pStyle w:val="Heading4"/>
        <w:keepNext/>
      </w:pPr>
      <w:bookmarkStart w:id="153" w:name="_Toc58156974"/>
      <w:bookmarkStart w:id="154" w:name="_Toc58207557"/>
      <w:bookmarkEnd w:id="153"/>
      <w:bookmarkEnd w:id="154"/>
      <w:r w:rsidRPr="00A11265">
        <w:lastRenderedPageBreak/>
        <w:t>Use of common definitions across</w:t>
      </w:r>
      <w:r w:rsidR="001A6692" w:rsidRPr="00A11265">
        <w:t xml:space="preserve"> the NT regulated systems</w:t>
      </w:r>
    </w:p>
    <w:p w14:paraId="334768E9" w14:textId="4E2DBD62" w:rsidR="001A6692" w:rsidRPr="00A11265" w:rsidRDefault="001A6692" w:rsidP="001A6692">
      <w:pPr>
        <w:rPr>
          <w:rFonts w:asciiTheme="minorHAnsi" w:hAnsiTheme="minorHAnsi" w:cs="Arial"/>
        </w:rPr>
      </w:pPr>
      <w:r w:rsidRPr="00A11265">
        <w:rPr>
          <w:rFonts w:asciiTheme="minorHAnsi" w:hAnsiTheme="minorHAnsi" w:cs="Arial"/>
        </w:rPr>
        <w:t xml:space="preserve">In redefining the essential system services there is an opportunity to either develop different definitions, services, and specification methods for each of the </w:t>
      </w:r>
      <w:r w:rsidR="005D6811" w:rsidRPr="00A11265">
        <w:rPr>
          <w:rFonts w:asciiTheme="minorHAnsi" w:hAnsiTheme="minorHAnsi" w:cs="Arial"/>
        </w:rPr>
        <w:t>NT regulated systems</w:t>
      </w:r>
      <w:r w:rsidRPr="00A11265">
        <w:rPr>
          <w:rFonts w:asciiTheme="minorHAnsi" w:hAnsiTheme="minorHAnsi" w:cs="Arial"/>
        </w:rPr>
        <w:t xml:space="preserve"> or to adopt a common set of provisions across the systems.</w:t>
      </w:r>
    </w:p>
    <w:p w14:paraId="55909014" w14:textId="4BC74A1E" w:rsidR="001A6692" w:rsidRPr="00A11265" w:rsidRDefault="00E06B98" w:rsidP="001A6692">
      <w:pPr>
        <w:rPr>
          <w:rFonts w:asciiTheme="minorHAnsi" w:hAnsiTheme="minorHAnsi" w:cs="Arial"/>
        </w:rPr>
      </w:pPr>
      <w:r w:rsidRPr="00A11265">
        <w:rPr>
          <w:rFonts w:asciiTheme="minorHAnsi" w:hAnsiTheme="minorHAnsi" w:cs="Arial"/>
        </w:rPr>
        <w:t>Although</w:t>
      </w:r>
      <w:r w:rsidR="001A6692" w:rsidRPr="00A11265">
        <w:rPr>
          <w:rFonts w:asciiTheme="minorHAnsi" w:hAnsiTheme="minorHAnsi" w:cs="Arial"/>
        </w:rPr>
        <w:t xml:space="preserve"> the three regulated systems vary significantly in size, as well as in terms of</w:t>
      </w:r>
      <w:r w:rsidR="005D6811" w:rsidRPr="00A11265">
        <w:rPr>
          <w:rFonts w:asciiTheme="minorHAnsi" w:hAnsiTheme="minorHAnsi" w:cs="Arial"/>
        </w:rPr>
        <w:t xml:space="preserve"> the</w:t>
      </w:r>
      <w:r w:rsidR="001A6692" w:rsidRPr="00A11265">
        <w:rPr>
          <w:rFonts w:asciiTheme="minorHAnsi" w:hAnsiTheme="minorHAnsi" w:cs="Arial"/>
        </w:rPr>
        <w:t xml:space="preserve"> number and type of connected generators and equipment, a unified framework for essential system services across the three systems is desirable as maintaining three sets of rules (including definitions) is likely to create extra administration and unnecessary complexity. Further, provisions can be crafted to allow the System Controller flexibility in procuring the specified services and the level of service that it procures. </w:t>
      </w:r>
    </w:p>
    <w:p w14:paraId="25F43C83" w14:textId="377341DB" w:rsidR="001A6692" w:rsidRPr="00A11265" w:rsidRDefault="005D6811" w:rsidP="001A6692">
      <w:pPr>
        <w:rPr>
          <w:rFonts w:asciiTheme="minorHAnsi" w:hAnsiTheme="minorHAnsi" w:cs="Arial"/>
        </w:rPr>
      </w:pPr>
      <w:r w:rsidRPr="00A11265">
        <w:rPr>
          <w:rFonts w:asciiTheme="minorHAnsi" w:hAnsiTheme="minorHAnsi" w:cs="Arial"/>
        </w:rPr>
        <w:t>Although</w:t>
      </w:r>
      <w:r w:rsidR="001A6692" w:rsidRPr="00A11265">
        <w:rPr>
          <w:rFonts w:asciiTheme="minorHAnsi" w:hAnsiTheme="minorHAnsi" w:cs="Arial"/>
        </w:rPr>
        <w:t xml:space="preserve"> governance arrangements, service definitions and method or principles applied to determine service level requirements can be considered ‘common’ between systems, practical requirements and implementation will differ due to each system’s unique characteristics. For implementation in each system to be suitable, detailed specification of the level of services, alignment with market dispatch where this applies, and sections of the procedures used to manage the services must be unique to the requirements of each system.</w:t>
      </w:r>
    </w:p>
    <w:p w14:paraId="0623D4EE" w14:textId="41555EB4" w:rsidR="004878F5" w:rsidRPr="00A11265" w:rsidRDefault="004878F5" w:rsidP="00F51F16">
      <w:pPr>
        <w:pStyle w:val="Heading3"/>
        <w:keepNext/>
        <w:rPr>
          <w:szCs w:val="24"/>
          <w:lang w:eastAsia="en-AU"/>
        </w:rPr>
      </w:pPr>
      <w:r w:rsidRPr="00A11265">
        <w:rPr>
          <w:szCs w:val="24"/>
          <w:lang w:eastAsia="en-AU"/>
        </w:rPr>
        <w:t>Governance</w:t>
      </w:r>
    </w:p>
    <w:p w14:paraId="6E442F22" w14:textId="07DE2D45" w:rsidR="00ED14E9" w:rsidRPr="00A11265" w:rsidRDefault="00561F27" w:rsidP="00EF3C37">
      <w:pPr>
        <w:rPr>
          <w:rFonts w:asciiTheme="minorHAnsi" w:hAnsiTheme="minorHAnsi" w:cs="Arial"/>
        </w:rPr>
      </w:pPr>
      <w:r w:rsidRPr="00A11265">
        <w:rPr>
          <w:rFonts w:asciiTheme="minorHAnsi" w:hAnsiTheme="minorHAnsi" w:cs="Arial"/>
        </w:rPr>
        <w:t>Broadl</w:t>
      </w:r>
      <w:r w:rsidR="004878F5" w:rsidRPr="00A11265">
        <w:rPr>
          <w:rFonts w:asciiTheme="minorHAnsi" w:hAnsiTheme="minorHAnsi" w:cs="Arial"/>
        </w:rPr>
        <w:t>y defining types of essential</w:t>
      </w:r>
      <w:r w:rsidRPr="00A11265">
        <w:rPr>
          <w:rFonts w:asciiTheme="minorHAnsi" w:hAnsiTheme="minorHAnsi" w:cs="Arial"/>
        </w:rPr>
        <w:t xml:space="preserve"> system services in the regulatory framework would potentially allow for a framework which is more agile and adaptable to technology and power system changes.</w:t>
      </w:r>
      <w:r w:rsidR="009E630A" w:rsidRPr="00A11265">
        <w:rPr>
          <w:rFonts w:asciiTheme="minorHAnsi" w:hAnsiTheme="minorHAnsi" w:cs="Arial"/>
        </w:rPr>
        <w:t xml:space="preserve"> </w:t>
      </w:r>
      <w:r w:rsidRPr="00A11265">
        <w:rPr>
          <w:rFonts w:asciiTheme="minorHAnsi" w:hAnsiTheme="minorHAnsi" w:cs="Arial"/>
        </w:rPr>
        <w:t xml:space="preserve">However, where this approach is taken, the </w:t>
      </w:r>
      <w:r w:rsidR="00ED14E9" w:rsidRPr="00A11265">
        <w:rPr>
          <w:rFonts w:asciiTheme="minorHAnsi" w:hAnsiTheme="minorHAnsi" w:cs="Arial"/>
        </w:rPr>
        <w:t>regulator</w:t>
      </w:r>
      <w:r w:rsidRPr="00A11265">
        <w:rPr>
          <w:rFonts w:asciiTheme="minorHAnsi" w:hAnsiTheme="minorHAnsi" w:cs="Arial"/>
        </w:rPr>
        <w:t>y framework will need to provide for the</w:t>
      </w:r>
      <w:r w:rsidR="00ED14E9" w:rsidRPr="00A11265">
        <w:rPr>
          <w:rFonts w:asciiTheme="minorHAnsi" w:hAnsiTheme="minorHAnsi" w:cs="Arial"/>
        </w:rPr>
        <w:t xml:space="preserve"> System Controller</w:t>
      </w:r>
      <w:r w:rsidRPr="00A11265">
        <w:rPr>
          <w:rFonts w:asciiTheme="minorHAnsi" w:hAnsiTheme="minorHAnsi" w:cs="Arial"/>
        </w:rPr>
        <w:t xml:space="preserve"> or some other party</w:t>
      </w:r>
      <w:r w:rsidR="00ED14E9" w:rsidRPr="00A11265">
        <w:rPr>
          <w:rFonts w:asciiTheme="minorHAnsi" w:hAnsiTheme="minorHAnsi" w:cs="Arial"/>
        </w:rPr>
        <w:t xml:space="preserve"> to develop and publish</w:t>
      </w:r>
      <w:r w:rsidRPr="00A11265">
        <w:rPr>
          <w:rFonts w:asciiTheme="minorHAnsi" w:hAnsiTheme="minorHAnsi" w:cs="Arial"/>
        </w:rPr>
        <w:t xml:space="preserve"> detailed specificat</w:t>
      </w:r>
      <w:r w:rsidR="00E06B98" w:rsidRPr="00A11265">
        <w:rPr>
          <w:rFonts w:asciiTheme="minorHAnsi" w:hAnsiTheme="minorHAnsi" w:cs="Arial"/>
        </w:rPr>
        <w:t>ions or descriptions of each essential system service</w:t>
      </w:r>
      <w:r w:rsidRPr="00A11265">
        <w:rPr>
          <w:rFonts w:asciiTheme="minorHAnsi" w:hAnsiTheme="minorHAnsi" w:cs="Arial"/>
        </w:rPr>
        <w:t xml:space="preserve"> from </w:t>
      </w:r>
      <w:r w:rsidR="004878F5" w:rsidRPr="00A11265">
        <w:rPr>
          <w:rFonts w:asciiTheme="minorHAnsi" w:hAnsiTheme="minorHAnsi" w:cs="Arial"/>
        </w:rPr>
        <w:t>time to time and requirements for services to qualify as the relevant essential system service.</w:t>
      </w:r>
    </w:p>
    <w:p w14:paraId="61D0CD63" w14:textId="46F562FD" w:rsidR="00ED14E9" w:rsidRPr="00A11265" w:rsidRDefault="00561F27" w:rsidP="00EF3C37">
      <w:pPr>
        <w:rPr>
          <w:rFonts w:asciiTheme="minorHAnsi" w:hAnsiTheme="minorHAnsi" w:cs="Arial"/>
        </w:rPr>
      </w:pPr>
      <w:r w:rsidRPr="00A11265">
        <w:rPr>
          <w:rFonts w:asciiTheme="minorHAnsi" w:hAnsiTheme="minorHAnsi" w:cs="Arial"/>
        </w:rPr>
        <w:t>The essential system service</w:t>
      </w:r>
      <w:r w:rsidR="00265196" w:rsidRPr="00A11265">
        <w:rPr>
          <w:rFonts w:asciiTheme="minorHAnsi" w:hAnsiTheme="minorHAnsi" w:cs="Arial"/>
        </w:rPr>
        <w:t>s</w:t>
      </w:r>
      <w:r w:rsidR="00ED14E9" w:rsidRPr="00A11265">
        <w:rPr>
          <w:rFonts w:asciiTheme="minorHAnsi" w:hAnsiTheme="minorHAnsi" w:cs="Arial"/>
        </w:rPr>
        <w:t xml:space="preserve"> framework in the National Electricity Market (NEM) requires the Australian Energy Market Operator to:</w:t>
      </w:r>
    </w:p>
    <w:p w14:paraId="26D7939B" w14:textId="59C4F090" w:rsidR="00ED14E9" w:rsidRPr="00A11265" w:rsidRDefault="00ED14E9" w:rsidP="00E02062">
      <w:pPr>
        <w:pStyle w:val="ListParagraph"/>
        <w:numPr>
          <w:ilvl w:val="0"/>
          <w:numId w:val="17"/>
        </w:numPr>
        <w:rPr>
          <w:rFonts w:asciiTheme="minorHAnsi" w:hAnsiTheme="minorHAnsi" w:cs="Arial"/>
        </w:rPr>
      </w:pPr>
      <w:r w:rsidRPr="00A11265">
        <w:rPr>
          <w:rFonts w:asciiTheme="minorHAnsi" w:hAnsiTheme="minorHAnsi" w:cs="Arial"/>
        </w:rPr>
        <w:t>develop and publish a detailed description of each kind of Market Ancillary Service and the performance parameters and requirements which must be satisfied in order for a service to qualify as the relevant market ancillary service</w:t>
      </w:r>
    </w:p>
    <w:p w14:paraId="54E0BB6B" w14:textId="77777777" w:rsidR="00901D6D" w:rsidRDefault="00ED14E9" w:rsidP="00E02062">
      <w:pPr>
        <w:pStyle w:val="ListParagraph"/>
        <w:numPr>
          <w:ilvl w:val="0"/>
          <w:numId w:val="17"/>
        </w:numPr>
        <w:rPr>
          <w:rFonts w:asciiTheme="minorHAnsi" w:hAnsiTheme="minorHAnsi" w:cs="Arial"/>
        </w:rPr>
      </w:pPr>
      <w:proofErr w:type="gramStart"/>
      <w:r w:rsidRPr="00A11265">
        <w:rPr>
          <w:rFonts w:asciiTheme="minorHAnsi" w:hAnsiTheme="minorHAnsi" w:cs="Arial"/>
        </w:rPr>
        <w:t>develop</w:t>
      </w:r>
      <w:proofErr w:type="gramEnd"/>
      <w:r w:rsidRPr="00A11265">
        <w:rPr>
          <w:rFonts w:asciiTheme="minorHAnsi" w:hAnsiTheme="minorHAnsi" w:cs="Arial"/>
        </w:rPr>
        <w:t xml:space="preserve"> and publish detailed descriptions of each type of Network Support</w:t>
      </w:r>
      <w:r w:rsidR="00561F27" w:rsidRPr="00A11265">
        <w:rPr>
          <w:rFonts w:asciiTheme="minorHAnsi" w:hAnsiTheme="minorHAnsi" w:cs="Arial"/>
        </w:rPr>
        <w:t xml:space="preserve"> and Control Ancillary Service.</w:t>
      </w:r>
      <w:r w:rsidR="00561F27" w:rsidRPr="00A11265">
        <w:rPr>
          <w:rStyle w:val="FootnoteReference"/>
          <w:rFonts w:asciiTheme="minorHAnsi" w:hAnsiTheme="minorHAnsi" w:cs="Arial"/>
        </w:rPr>
        <w:footnoteReference w:id="20"/>
      </w:r>
      <w:r w:rsidRPr="00A11265">
        <w:rPr>
          <w:rFonts w:asciiTheme="minorHAnsi" w:hAnsiTheme="minorHAnsi" w:cs="Arial"/>
        </w:rPr>
        <w:t xml:space="preserve"> </w:t>
      </w:r>
    </w:p>
    <w:p w14:paraId="2DBFBCBD" w14:textId="69A0B230" w:rsidR="00561F27" w:rsidRPr="00A23B49" w:rsidRDefault="00ED14E9" w:rsidP="00A23B49">
      <w:pPr>
        <w:rPr>
          <w:rFonts w:asciiTheme="minorHAnsi" w:hAnsiTheme="minorHAnsi" w:cs="Arial"/>
        </w:rPr>
      </w:pPr>
      <w:r w:rsidRPr="00A23B49">
        <w:rPr>
          <w:rFonts w:asciiTheme="minorHAnsi" w:hAnsiTheme="minorHAnsi" w:cs="Arial"/>
        </w:rPr>
        <w:t>The National Electricity Rules also impose requirements for consultat</w:t>
      </w:r>
      <w:r w:rsidR="00561F27" w:rsidRPr="00A23B49">
        <w:rPr>
          <w:rFonts w:asciiTheme="minorHAnsi" w:hAnsiTheme="minorHAnsi" w:cs="Arial"/>
        </w:rPr>
        <w:t>ion regarding changes to the essential system service</w:t>
      </w:r>
      <w:r w:rsidRPr="00A23B49">
        <w:rPr>
          <w:rFonts w:asciiTheme="minorHAnsi" w:hAnsiTheme="minorHAnsi" w:cs="Arial"/>
        </w:rPr>
        <w:t xml:space="preserve"> specifications and descriptions.</w:t>
      </w:r>
    </w:p>
    <w:p w14:paraId="0374A5D5" w14:textId="717B76F2" w:rsidR="00ED14E9" w:rsidRPr="00A11265" w:rsidRDefault="00ED14E9" w:rsidP="002E15F8">
      <w:pPr>
        <w:rPr>
          <w:rFonts w:asciiTheme="minorHAnsi" w:hAnsiTheme="minorHAnsi" w:cs="Arial"/>
        </w:rPr>
      </w:pPr>
      <w:r w:rsidRPr="00A11265">
        <w:rPr>
          <w:rFonts w:asciiTheme="minorHAnsi" w:hAnsiTheme="minorHAnsi" w:cs="Arial"/>
        </w:rPr>
        <w:t xml:space="preserve">A similar arrangement could be adopted in the </w:t>
      </w:r>
      <w:r w:rsidR="00F17647">
        <w:rPr>
          <w:rFonts w:asciiTheme="minorHAnsi" w:hAnsiTheme="minorHAnsi" w:cs="Arial"/>
        </w:rPr>
        <w:t>NT</w:t>
      </w:r>
      <w:r w:rsidRPr="00A11265">
        <w:rPr>
          <w:rFonts w:asciiTheme="minorHAnsi" w:hAnsiTheme="minorHAnsi" w:cs="Arial"/>
        </w:rPr>
        <w:t xml:space="preserve">. However, local institutional and industry arrangements could warrant more robust regulatory prescription and oversight to secure industry confidence in the </w:t>
      </w:r>
      <w:r w:rsidR="00EC5D6B" w:rsidRPr="00A11265">
        <w:rPr>
          <w:rFonts w:asciiTheme="minorHAnsi" w:hAnsiTheme="minorHAnsi" w:cs="Arial"/>
        </w:rPr>
        <w:t>essential system services</w:t>
      </w:r>
      <w:r w:rsidRPr="00A11265">
        <w:rPr>
          <w:rFonts w:asciiTheme="minorHAnsi" w:hAnsiTheme="minorHAnsi" w:cs="Arial"/>
        </w:rPr>
        <w:t xml:space="preserve"> framework.</w:t>
      </w:r>
    </w:p>
    <w:p w14:paraId="02B0619C" w14:textId="63CC1DCB" w:rsidR="001410F2" w:rsidRPr="00A11265" w:rsidRDefault="00561F27" w:rsidP="00C97ABC">
      <w:pPr>
        <w:rPr>
          <w:rFonts w:asciiTheme="minorHAnsi" w:hAnsiTheme="minorHAnsi" w:cs="Arial"/>
        </w:rPr>
      </w:pPr>
      <w:r w:rsidRPr="00A11265">
        <w:rPr>
          <w:rFonts w:asciiTheme="minorHAnsi" w:hAnsiTheme="minorHAnsi" w:cs="Arial"/>
        </w:rPr>
        <w:t>As the System Controller has the relevant expertise and familiarity with the requirements of the NT regulated systems</w:t>
      </w:r>
      <w:r w:rsidR="001A0EA6" w:rsidRPr="00A11265">
        <w:rPr>
          <w:rFonts w:asciiTheme="minorHAnsi" w:hAnsiTheme="minorHAnsi" w:cs="Arial"/>
        </w:rPr>
        <w:t>, it would be best placed to develop and publish detailed specifications for essential sys</w:t>
      </w:r>
      <w:r w:rsidR="001410F2" w:rsidRPr="00A11265">
        <w:rPr>
          <w:rFonts w:asciiTheme="minorHAnsi" w:hAnsiTheme="minorHAnsi" w:cs="Arial"/>
        </w:rPr>
        <w:t>tem servi</w:t>
      </w:r>
      <w:r w:rsidR="009E630A" w:rsidRPr="00A11265">
        <w:rPr>
          <w:rFonts w:asciiTheme="minorHAnsi" w:hAnsiTheme="minorHAnsi" w:cs="Arial"/>
        </w:rPr>
        <w:t>ces from time to time.</w:t>
      </w:r>
    </w:p>
    <w:p w14:paraId="7D3A3B8F" w14:textId="288F1BAD" w:rsidR="00B93D14" w:rsidRPr="00A11265" w:rsidRDefault="001410F2" w:rsidP="00EF3C37">
      <w:pPr>
        <w:rPr>
          <w:rFonts w:asciiTheme="minorHAnsi" w:hAnsiTheme="minorHAnsi" w:cs="Arial"/>
        </w:rPr>
      </w:pPr>
      <w:r w:rsidRPr="00A11265">
        <w:rPr>
          <w:rFonts w:asciiTheme="minorHAnsi" w:hAnsiTheme="minorHAnsi" w:cs="Arial"/>
        </w:rPr>
        <w:t>The specification of essential system services has critical bearing on the technologies and facilities which are deemed capabl</w:t>
      </w:r>
      <w:r w:rsidR="00265196" w:rsidRPr="00A11265">
        <w:rPr>
          <w:rFonts w:asciiTheme="minorHAnsi" w:hAnsiTheme="minorHAnsi" w:cs="Arial"/>
        </w:rPr>
        <w:t>e of providing them, and so has</w:t>
      </w:r>
      <w:r w:rsidRPr="00A11265">
        <w:rPr>
          <w:rFonts w:asciiTheme="minorHAnsi" w:hAnsiTheme="minorHAnsi" w:cs="Arial"/>
        </w:rPr>
        <w:t xml:space="preserve"> significant importance to </w:t>
      </w:r>
      <w:r w:rsidR="00265196" w:rsidRPr="00A11265">
        <w:rPr>
          <w:rFonts w:asciiTheme="minorHAnsi" w:hAnsiTheme="minorHAnsi" w:cs="Arial"/>
        </w:rPr>
        <w:t>system</w:t>
      </w:r>
      <w:r w:rsidR="003610FB" w:rsidRPr="00A11265">
        <w:rPr>
          <w:rFonts w:asciiTheme="minorHAnsi" w:hAnsiTheme="minorHAnsi" w:cs="Arial"/>
        </w:rPr>
        <w:t xml:space="preserve"> participants.</w:t>
      </w:r>
      <w:r w:rsidR="00265196" w:rsidRPr="00A11265">
        <w:rPr>
          <w:rFonts w:asciiTheme="minorHAnsi" w:hAnsiTheme="minorHAnsi" w:cs="Arial"/>
        </w:rPr>
        <w:t xml:space="preserve"> </w:t>
      </w:r>
      <w:r w:rsidR="003610FB" w:rsidRPr="00A11265">
        <w:rPr>
          <w:rFonts w:asciiTheme="minorHAnsi" w:hAnsiTheme="minorHAnsi" w:cs="Arial"/>
        </w:rPr>
        <w:t>Approval</w:t>
      </w:r>
      <w:r w:rsidRPr="00A11265">
        <w:rPr>
          <w:rFonts w:asciiTheme="minorHAnsi" w:hAnsiTheme="minorHAnsi" w:cs="Arial"/>
        </w:rPr>
        <w:t xml:space="preserve"> of </w:t>
      </w:r>
      <w:r w:rsidR="003610FB" w:rsidRPr="00A11265">
        <w:rPr>
          <w:rFonts w:asciiTheme="minorHAnsi" w:hAnsiTheme="minorHAnsi" w:cs="Arial"/>
        </w:rPr>
        <w:t>detailed</w:t>
      </w:r>
      <w:r w:rsidRPr="00A11265">
        <w:rPr>
          <w:rFonts w:asciiTheme="minorHAnsi" w:hAnsiTheme="minorHAnsi" w:cs="Arial"/>
        </w:rPr>
        <w:t xml:space="preserve"> essential system services specifications</w:t>
      </w:r>
      <w:r w:rsidR="00CB176D">
        <w:rPr>
          <w:rFonts w:asciiTheme="minorHAnsi" w:hAnsiTheme="minorHAnsi" w:cs="Arial"/>
        </w:rPr>
        <w:t xml:space="preserve"> (including for any additional services) and service requirement calculation methods</w:t>
      </w:r>
      <w:r w:rsidR="003610FB" w:rsidRPr="00A11265">
        <w:rPr>
          <w:rFonts w:asciiTheme="minorHAnsi" w:hAnsiTheme="minorHAnsi" w:cs="Arial"/>
        </w:rPr>
        <w:t xml:space="preserve"> </w:t>
      </w:r>
      <w:r w:rsidRPr="00A11265">
        <w:rPr>
          <w:rFonts w:asciiTheme="minorHAnsi" w:hAnsiTheme="minorHAnsi" w:cs="Arial"/>
        </w:rPr>
        <w:t xml:space="preserve">by the Utilities Commission, as the independent industry regulator, would </w:t>
      </w:r>
      <w:r w:rsidRPr="00A11265">
        <w:rPr>
          <w:rFonts w:asciiTheme="minorHAnsi" w:hAnsiTheme="minorHAnsi" w:cs="Arial"/>
        </w:rPr>
        <w:lastRenderedPageBreak/>
        <w:t>provide additional confidence to industry participants in the</w:t>
      </w:r>
      <w:r w:rsidR="003610FB" w:rsidRPr="00A11265">
        <w:rPr>
          <w:rFonts w:asciiTheme="minorHAnsi" w:hAnsiTheme="minorHAnsi" w:cs="Arial"/>
        </w:rPr>
        <w:t xml:space="preserve"> appropriaten</w:t>
      </w:r>
      <w:r w:rsidR="00265196" w:rsidRPr="00A11265">
        <w:rPr>
          <w:rFonts w:asciiTheme="minorHAnsi" w:hAnsiTheme="minorHAnsi" w:cs="Arial"/>
        </w:rPr>
        <w:t>ess of the detailed essential system services definitions and specifications.</w:t>
      </w:r>
    </w:p>
    <w:p w14:paraId="2E996C5D" w14:textId="2C32B60B" w:rsidR="00EF3C37" w:rsidRPr="00A11265" w:rsidRDefault="00EF3C37" w:rsidP="00D9724C">
      <w:pPr>
        <w:pStyle w:val="Heading2"/>
        <w:keepNext/>
        <w:rPr>
          <w:lang w:eastAsia="en-AU"/>
        </w:rPr>
      </w:pPr>
      <w:bookmarkStart w:id="155" w:name="_Toc61956192"/>
      <w:r w:rsidRPr="00A11265">
        <w:rPr>
          <w:lang w:eastAsia="en-AU"/>
        </w:rPr>
        <w:t>Draft position</w:t>
      </w:r>
      <w:bookmarkEnd w:id="155"/>
    </w:p>
    <w:p w14:paraId="744967A5" w14:textId="66D9147D" w:rsidR="00945D12" w:rsidRPr="00A11265" w:rsidRDefault="00945D12" w:rsidP="00945D12">
      <w:pPr>
        <w:rPr>
          <w:rFonts w:asciiTheme="minorHAnsi" w:hAnsiTheme="minorHAnsi" w:cs="Arial"/>
        </w:rPr>
      </w:pPr>
      <w:r w:rsidRPr="00A11265">
        <w:rPr>
          <w:rFonts w:asciiTheme="minorHAnsi" w:hAnsiTheme="minorHAnsi" w:cs="Arial"/>
        </w:rPr>
        <w:t>The types of essential system services currently enacted in the SSG, spinning reserve and regulating frequency management services, are in and by themselves not suitable to meet the future requirements of the NT regulated systems. Although the SSG makes provision for a variety of other appropriate types of essential system services, to date these services have not been enacted.</w:t>
      </w:r>
    </w:p>
    <w:p w14:paraId="63203E80" w14:textId="3FED31A9" w:rsidR="0006038E" w:rsidRDefault="00945D12" w:rsidP="0006038E">
      <w:pPr>
        <w:rPr>
          <w:rFonts w:asciiTheme="minorHAnsi" w:hAnsiTheme="minorHAnsi" w:cs="Arial"/>
        </w:rPr>
      </w:pPr>
      <w:r w:rsidRPr="00A11265">
        <w:rPr>
          <w:rFonts w:asciiTheme="minorHAnsi" w:hAnsiTheme="minorHAnsi" w:cs="Arial"/>
        </w:rPr>
        <w:t xml:space="preserve">The Design Development Team proposes that the set of essential system services outlined in Table </w:t>
      </w:r>
      <w:r w:rsidR="00CF3162" w:rsidRPr="00A11265">
        <w:rPr>
          <w:rFonts w:asciiTheme="minorHAnsi" w:hAnsiTheme="minorHAnsi" w:cs="Arial"/>
        </w:rPr>
        <w:t>2-3</w:t>
      </w:r>
      <w:r w:rsidRPr="00A11265">
        <w:rPr>
          <w:rFonts w:asciiTheme="minorHAnsi" w:hAnsiTheme="minorHAnsi" w:cs="Arial"/>
        </w:rPr>
        <w:t xml:space="preserve"> apply across the</w:t>
      </w:r>
      <w:r w:rsidR="00F216B8">
        <w:rPr>
          <w:rFonts w:asciiTheme="minorHAnsi" w:hAnsiTheme="minorHAnsi" w:cs="Arial"/>
        </w:rPr>
        <w:t xml:space="preserve"> NT</w:t>
      </w:r>
      <w:r w:rsidRPr="00A11265">
        <w:rPr>
          <w:rFonts w:asciiTheme="minorHAnsi" w:hAnsiTheme="minorHAnsi" w:cs="Arial"/>
        </w:rPr>
        <w:t xml:space="preserve"> regulated power systems. These services have been selected to be technology neutral, and alignment across the NT regulated systems will enhance clarity about the s</w:t>
      </w:r>
      <w:r w:rsidR="0006038E">
        <w:rPr>
          <w:rFonts w:asciiTheme="minorHAnsi" w:hAnsiTheme="minorHAnsi" w:cs="Arial"/>
        </w:rPr>
        <w:t>ervices and their requirements.</w:t>
      </w:r>
    </w:p>
    <w:p w14:paraId="675DC1A4" w14:textId="57B2812B" w:rsidR="00945D12" w:rsidRPr="00A23B49" w:rsidRDefault="00945D12" w:rsidP="00945D12">
      <w:pPr>
        <w:keepNext/>
        <w:spacing w:after="0"/>
        <w:rPr>
          <w:rFonts w:asciiTheme="minorHAnsi" w:hAnsiTheme="minorHAnsi" w:cs="Arial"/>
          <w:b/>
        </w:rPr>
      </w:pPr>
      <w:r w:rsidRPr="00A23B49">
        <w:rPr>
          <w:rFonts w:asciiTheme="minorHAnsi" w:hAnsiTheme="minorHAnsi" w:cs="Arial"/>
          <w:b/>
        </w:rPr>
        <w:t xml:space="preserve">Table </w:t>
      </w:r>
      <w:r w:rsidR="00CF3162" w:rsidRPr="00A23B49">
        <w:rPr>
          <w:rFonts w:asciiTheme="minorHAnsi" w:hAnsiTheme="minorHAnsi" w:cs="Arial"/>
          <w:b/>
        </w:rPr>
        <w:t>2-3</w:t>
      </w:r>
      <w:r w:rsidRPr="00A23B49">
        <w:rPr>
          <w:rFonts w:asciiTheme="minorHAnsi" w:hAnsiTheme="minorHAnsi" w:cs="Arial"/>
          <w:b/>
        </w:rPr>
        <w:t xml:space="preserve"> </w:t>
      </w:r>
      <w:r w:rsidRPr="00A23B49">
        <w:rPr>
          <w:rFonts w:asciiTheme="minorHAnsi" w:hAnsiTheme="minorHAnsi" w:cs="Arial"/>
          <w:b/>
        </w:rPr>
        <w:tab/>
        <w:t xml:space="preserve">Proposed essential system service types </w:t>
      </w:r>
      <w:r w:rsidR="0099483B" w:rsidRPr="00A23B49">
        <w:rPr>
          <w:rFonts w:asciiTheme="minorHAnsi" w:hAnsiTheme="minorHAnsi" w:cs="Arial"/>
          <w:b/>
        </w:rPr>
        <w:t>—</w:t>
      </w:r>
      <w:r w:rsidRPr="00A23B49">
        <w:rPr>
          <w:rFonts w:asciiTheme="minorHAnsi" w:hAnsiTheme="minorHAnsi" w:cs="Arial"/>
          <w:b/>
        </w:rPr>
        <w:t xml:space="preserve"> NT regulated systems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5947"/>
        <w:gridCol w:w="1935"/>
      </w:tblGrid>
      <w:tr w:rsidR="005C33F7" w:rsidRPr="00AA4D6E" w14:paraId="6BAC0D62" w14:textId="77777777" w:rsidTr="00D24B1D">
        <w:trPr>
          <w:tblHeader/>
        </w:trPr>
        <w:tc>
          <w:tcPr>
            <w:tcW w:w="0" w:type="auto"/>
            <w:tcBorders>
              <w:top w:val="single" w:sz="4" w:space="0" w:color="auto"/>
              <w:bottom w:val="single" w:sz="4" w:space="0" w:color="auto"/>
            </w:tcBorders>
          </w:tcPr>
          <w:p w14:paraId="12DA9270" w14:textId="77777777" w:rsidR="00945D12" w:rsidRPr="00A23B49" w:rsidRDefault="00945D12" w:rsidP="00074521">
            <w:pPr>
              <w:keepNext/>
              <w:spacing w:before="60" w:after="60"/>
              <w:rPr>
                <w:rFonts w:asciiTheme="minorHAnsi" w:hAnsiTheme="minorHAnsi" w:cs="Arial"/>
                <w:b/>
              </w:rPr>
            </w:pPr>
            <w:r w:rsidRPr="00A23B49">
              <w:rPr>
                <w:rFonts w:asciiTheme="minorHAnsi" w:hAnsiTheme="minorHAnsi"/>
                <w:b/>
              </w:rPr>
              <w:t>Essential system service</w:t>
            </w:r>
          </w:p>
        </w:tc>
        <w:tc>
          <w:tcPr>
            <w:tcW w:w="0" w:type="auto"/>
            <w:tcBorders>
              <w:top w:val="single" w:sz="4" w:space="0" w:color="auto"/>
              <w:bottom w:val="single" w:sz="4" w:space="0" w:color="auto"/>
            </w:tcBorders>
          </w:tcPr>
          <w:p w14:paraId="66308EB4" w14:textId="77777777" w:rsidR="00945D12" w:rsidRPr="00A23B49" w:rsidRDefault="00945D12" w:rsidP="00074521">
            <w:pPr>
              <w:keepNext/>
              <w:spacing w:before="60" w:after="60"/>
              <w:rPr>
                <w:rFonts w:asciiTheme="minorHAnsi" w:hAnsiTheme="minorHAnsi" w:cs="Arial"/>
                <w:b/>
              </w:rPr>
            </w:pPr>
            <w:r w:rsidRPr="00A23B49">
              <w:rPr>
                <w:rFonts w:asciiTheme="minorHAnsi" w:hAnsiTheme="minorHAnsi"/>
                <w:b/>
              </w:rPr>
              <w:t>Purpose</w:t>
            </w:r>
          </w:p>
        </w:tc>
        <w:tc>
          <w:tcPr>
            <w:tcW w:w="0" w:type="auto"/>
            <w:tcBorders>
              <w:top w:val="single" w:sz="4" w:space="0" w:color="auto"/>
              <w:bottom w:val="single" w:sz="4" w:space="0" w:color="auto"/>
            </w:tcBorders>
          </w:tcPr>
          <w:p w14:paraId="6FDF7C2F" w14:textId="7ED8F49F" w:rsidR="00945D12" w:rsidRPr="00A23B49" w:rsidRDefault="005C33F7" w:rsidP="00074521">
            <w:pPr>
              <w:keepNext/>
              <w:spacing w:before="60" w:after="60"/>
              <w:rPr>
                <w:rFonts w:asciiTheme="minorHAnsi" w:hAnsiTheme="minorHAnsi"/>
                <w:b/>
              </w:rPr>
            </w:pPr>
            <w:r w:rsidRPr="00A23B49">
              <w:rPr>
                <w:rFonts w:asciiTheme="minorHAnsi" w:hAnsiTheme="minorHAnsi"/>
                <w:b/>
              </w:rPr>
              <w:t>Procurement r</w:t>
            </w:r>
            <w:r w:rsidR="00945D12" w:rsidRPr="00A23B49">
              <w:rPr>
                <w:rFonts w:asciiTheme="minorHAnsi" w:hAnsiTheme="minorHAnsi"/>
                <w:b/>
              </w:rPr>
              <w:t>esponsibility</w:t>
            </w:r>
          </w:p>
        </w:tc>
      </w:tr>
      <w:tr w:rsidR="005C33F7" w:rsidRPr="00AA4D6E" w14:paraId="7B3A4DA7" w14:textId="77777777" w:rsidTr="00972E86">
        <w:tc>
          <w:tcPr>
            <w:tcW w:w="0" w:type="auto"/>
            <w:tcBorders>
              <w:top w:val="single" w:sz="4" w:space="0" w:color="auto"/>
              <w:bottom w:val="single" w:sz="4" w:space="0" w:color="auto"/>
            </w:tcBorders>
          </w:tcPr>
          <w:p w14:paraId="428A619C" w14:textId="77777777" w:rsidR="00945D12" w:rsidRPr="00A23B49" w:rsidRDefault="00945D12" w:rsidP="00972E86">
            <w:pPr>
              <w:keepNext/>
              <w:spacing w:before="60" w:after="60"/>
              <w:rPr>
                <w:rFonts w:asciiTheme="minorHAnsi" w:hAnsiTheme="minorHAnsi" w:cs="Arial"/>
              </w:rPr>
            </w:pPr>
            <w:r w:rsidRPr="00A23B49">
              <w:t>Rate of Change of Frequency (</w:t>
            </w:r>
            <w:proofErr w:type="spellStart"/>
            <w:r w:rsidRPr="00A23B49">
              <w:t>RoCoF</w:t>
            </w:r>
            <w:proofErr w:type="spellEnd"/>
            <w:r w:rsidRPr="00A23B49">
              <w:t>) Control</w:t>
            </w:r>
          </w:p>
        </w:tc>
        <w:tc>
          <w:tcPr>
            <w:tcW w:w="0" w:type="auto"/>
            <w:tcBorders>
              <w:top w:val="single" w:sz="4" w:space="0" w:color="auto"/>
              <w:bottom w:val="single" w:sz="4" w:space="0" w:color="auto"/>
            </w:tcBorders>
          </w:tcPr>
          <w:p w14:paraId="51CF84FF" w14:textId="77777777" w:rsidR="00945D12" w:rsidRPr="00A23B49" w:rsidRDefault="00945D12" w:rsidP="00972E86">
            <w:pPr>
              <w:pStyle w:val="Body"/>
              <w:keepNext/>
              <w:numPr>
                <w:ilvl w:val="0"/>
                <w:numId w:val="15"/>
              </w:numPr>
              <w:spacing w:after="60" w:line="240" w:lineRule="auto"/>
              <w:ind w:left="342" w:hanging="342"/>
              <w:rPr>
                <w:rFonts w:asciiTheme="minorHAnsi" w:hAnsiTheme="minorHAnsi"/>
                <w:sz w:val="22"/>
                <w:szCs w:val="22"/>
              </w:rPr>
            </w:pPr>
            <w:r w:rsidRPr="00A23B49">
              <w:rPr>
                <w:rFonts w:asciiTheme="minorHAnsi" w:hAnsiTheme="minorHAnsi"/>
                <w:sz w:val="22"/>
                <w:szCs w:val="22"/>
              </w:rPr>
              <w:t xml:space="preserve">Control maximum </w:t>
            </w:r>
            <w:proofErr w:type="spellStart"/>
            <w:r w:rsidRPr="00A23B49">
              <w:rPr>
                <w:rFonts w:asciiTheme="minorHAnsi" w:hAnsiTheme="minorHAnsi"/>
                <w:sz w:val="22"/>
                <w:szCs w:val="22"/>
              </w:rPr>
              <w:t>RoCoF</w:t>
            </w:r>
            <w:proofErr w:type="spellEnd"/>
            <w:r w:rsidRPr="00A23B49">
              <w:rPr>
                <w:rFonts w:asciiTheme="minorHAnsi" w:hAnsiTheme="minorHAnsi"/>
                <w:sz w:val="22"/>
                <w:szCs w:val="22"/>
              </w:rPr>
              <w:t xml:space="preserve"> on power systems.</w:t>
            </w:r>
          </w:p>
          <w:p w14:paraId="212E16FC" w14:textId="77777777" w:rsidR="00945D12" w:rsidRPr="00A23B49" w:rsidRDefault="00945D12" w:rsidP="00972E86">
            <w:pPr>
              <w:pStyle w:val="Body"/>
              <w:keepNext/>
              <w:numPr>
                <w:ilvl w:val="0"/>
                <w:numId w:val="15"/>
              </w:numPr>
              <w:spacing w:after="60" w:line="240" w:lineRule="auto"/>
              <w:ind w:left="342" w:hanging="342"/>
              <w:rPr>
                <w:rFonts w:ascii="Lato" w:hAnsi="Lato" w:cs="Arial"/>
                <w:sz w:val="22"/>
                <w:szCs w:val="22"/>
              </w:rPr>
            </w:pPr>
            <w:r w:rsidRPr="00A23B49">
              <w:rPr>
                <w:rFonts w:asciiTheme="minorHAnsi" w:hAnsiTheme="minorHAnsi"/>
                <w:sz w:val="22"/>
                <w:szCs w:val="22"/>
              </w:rPr>
              <w:t>Ensure system security for credible contingency events and ‘protected events’.</w:t>
            </w:r>
          </w:p>
        </w:tc>
        <w:tc>
          <w:tcPr>
            <w:tcW w:w="0" w:type="auto"/>
            <w:tcBorders>
              <w:top w:val="single" w:sz="4" w:space="0" w:color="auto"/>
              <w:bottom w:val="single" w:sz="4" w:space="0" w:color="auto"/>
            </w:tcBorders>
          </w:tcPr>
          <w:p w14:paraId="00348E0E" w14:textId="77777777" w:rsidR="00945D12" w:rsidRPr="00A23B49" w:rsidRDefault="00945D12" w:rsidP="00972E86">
            <w:pPr>
              <w:pStyle w:val="Body"/>
              <w:keepNext/>
              <w:spacing w:after="60" w:line="240" w:lineRule="auto"/>
              <w:rPr>
                <w:rFonts w:asciiTheme="minorHAnsi" w:hAnsiTheme="minorHAnsi"/>
                <w:sz w:val="22"/>
                <w:szCs w:val="22"/>
              </w:rPr>
            </w:pPr>
            <w:r w:rsidRPr="00A23B49">
              <w:rPr>
                <w:rFonts w:asciiTheme="minorHAnsi" w:hAnsiTheme="minorHAnsi"/>
                <w:sz w:val="22"/>
                <w:szCs w:val="22"/>
              </w:rPr>
              <w:t>System Controller</w:t>
            </w:r>
          </w:p>
        </w:tc>
      </w:tr>
      <w:tr w:rsidR="005C33F7" w:rsidRPr="00AA4D6E" w14:paraId="75C0808D" w14:textId="77777777" w:rsidTr="00972E86">
        <w:tc>
          <w:tcPr>
            <w:tcW w:w="0" w:type="auto"/>
            <w:tcBorders>
              <w:top w:val="single" w:sz="4" w:space="0" w:color="auto"/>
              <w:bottom w:val="single" w:sz="4" w:space="0" w:color="auto"/>
            </w:tcBorders>
          </w:tcPr>
          <w:p w14:paraId="06C20412" w14:textId="77777777" w:rsidR="00945D12" w:rsidRPr="00A23B49" w:rsidRDefault="00945D12" w:rsidP="00972E86">
            <w:pPr>
              <w:keepNext/>
              <w:spacing w:before="60" w:after="60"/>
              <w:rPr>
                <w:rFonts w:asciiTheme="minorHAnsi" w:hAnsiTheme="minorHAnsi" w:cs="Arial"/>
              </w:rPr>
            </w:pPr>
            <w:r w:rsidRPr="00A23B49">
              <w:t>Contingency frequency control (raise)</w:t>
            </w:r>
          </w:p>
        </w:tc>
        <w:tc>
          <w:tcPr>
            <w:tcW w:w="0" w:type="auto"/>
            <w:tcBorders>
              <w:top w:val="single" w:sz="4" w:space="0" w:color="auto"/>
              <w:bottom w:val="single" w:sz="4" w:space="0" w:color="auto"/>
            </w:tcBorders>
          </w:tcPr>
          <w:p w14:paraId="5C22E6E7" w14:textId="77777777" w:rsidR="00945D12" w:rsidRPr="00A23B49" w:rsidRDefault="00945D12" w:rsidP="00972E86">
            <w:pPr>
              <w:pStyle w:val="Body"/>
              <w:keepNext/>
              <w:numPr>
                <w:ilvl w:val="0"/>
                <w:numId w:val="15"/>
              </w:numPr>
              <w:spacing w:after="60" w:line="240" w:lineRule="auto"/>
              <w:ind w:left="342" w:hanging="342"/>
              <w:rPr>
                <w:rFonts w:asciiTheme="minorHAnsi" w:hAnsiTheme="minorHAnsi"/>
                <w:sz w:val="22"/>
                <w:szCs w:val="22"/>
              </w:rPr>
            </w:pPr>
            <w:r w:rsidRPr="00A23B49">
              <w:rPr>
                <w:rFonts w:asciiTheme="minorHAnsi" w:hAnsiTheme="minorHAnsi"/>
                <w:sz w:val="22"/>
                <w:szCs w:val="22"/>
              </w:rPr>
              <w:t>Stabilise frequency within ‘emergency’ defined operating band after a credible contingency resulting in the net disconnection of generation.</w:t>
            </w:r>
          </w:p>
          <w:p w14:paraId="420106E2" w14:textId="76122B61" w:rsidR="00945D12" w:rsidRPr="00A23B49" w:rsidRDefault="00945D12" w:rsidP="00972E86">
            <w:pPr>
              <w:pStyle w:val="Body"/>
              <w:keepNext/>
              <w:numPr>
                <w:ilvl w:val="0"/>
                <w:numId w:val="15"/>
              </w:numPr>
              <w:spacing w:after="60" w:line="240" w:lineRule="auto"/>
              <w:ind w:left="342" w:hanging="342"/>
              <w:rPr>
                <w:rFonts w:asciiTheme="minorHAnsi" w:hAnsiTheme="minorHAnsi" w:cs="Arial"/>
                <w:sz w:val="22"/>
                <w:szCs w:val="22"/>
              </w:rPr>
            </w:pPr>
            <w:r w:rsidRPr="00A23B49">
              <w:rPr>
                <w:rFonts w:asciiTheme="minorHAnsi" w:hAnsiTheme="minorHAnsi"/>
                <w:sz w:val="22"/>
                <w:szCs w:val="22"/>
              </w:rPr>
              <w:t>Ensure system security without Under Frequency Load Shedding for all credible contingency events.</w:t>
            </w:r>
          </w:p>
        </w:tc>
        <w:tc>
          <w:tcPr>
            <w:tcW w:w="0" w:type="auto"/>
            <w:tcBorders>
              <w:top w:val="single" w:sz="4" w:space="0" w:color="auto"/>
              <w:bottom w:val="single" w:sz="4" w:space="0" w:color="auto"/>
            </w:tcBorders>
          </w:tcPr>
          <w:p w14:paraId="3C71D336" w14:textId="77777777" w:rsidR="00945D12" w:rsidRPr="00A23B49" w:rsidRDefault="00945D12" w:rsidP="00972E86">
            <w:pPr>
              <w:pStyle w:val="Body"/>
              <w:keepNext/>
              <w:spacing w:after="60" w:line="240" w:lineRule="auto"/>
              <w:rPr>
                <w:rFonts w:asciiTheme="minorHAnsi" w:hAnsiTheme="minorHAnsi"/>
                <w:sz w:val="22"/>
                <w:szCs w:val="22"/>
              </w:rPr>
            </w:pPr>
            <w:r w:rsidRPr="00A23B49">
              <w:rPr>
                <w:rFonts w:asciiTheme="minorHAnsi" w:hAnsiTheme="minorHAnsi"/>
                <w:sz w:val="22"/>
                <w:szCs w:val="22"/>
              </w:rPr>
              <w:t>System Controller</w:t>
            </w:r>
          </w:p>
        </w:tc>
      </w:tr>
      <w:tr w:rsidR="005C33F7" w:rsidRPr="00AA4D6E" w14:paraId="5F4A6042" w14:textId="77777777" w:rsidTr="00972E86">
        <w:tc>
          <w:tcPr>
            <w:tcW w:w="0" w:type="auto"/>
            <w:tcBorders>
              <w:top w:val="single" w:sz="4" w:space="0" w:color="auto"/>
              <w:bottom w:val="single" w:sz="4" w:space="0" w:color="auto"/>
            </w:tcBorders>
          </w:tcPr>
          <w:p w14:paraId="75109B6E" w14:textId="77777777" w:rsidR="00945D12" w:rsidRPr="00A23B49" w:rsidRDefault="00945D12" w:rsidP="00972E86">
            <w:pPr>
              <w:keepNext/>
              <w:spacing w:before="60" w:after="60"/>
              <w:rPr>
                <w:rFonts w:asciiTheme="minorHAnsi" w:hAnsiTheme="minorHAnsi" w:cs="Arial"/>
              </w:rPr>
            </w:pPr>
            <w:r w:rsidRPr="00A23B49">
              <w:t>Contingency frequency control (lower)</w:t>
            </w:r>
          </w:p>
        </w:tc>
        <w:tc>
          <w:tcPr>
            <w:tcW w:w="0" w:type="auto"/>
            <w:tcBorders>
              <w:top w:val="single" w:sz="4" w:space="0" w:color="auto"/>
              <w:bottom w:val="single" w:sz="4" w:space="0" w:color="auto"/>
            </w:tcBorders>
          </w:tcPr>
          <w:p w14:paraId="1927AEB1" w14:textId="77777777" w:rsidR="00945D12" w:rsidRPr="00A23B49" w:rsidRDefault="00945D12" w:rsidP="00972E86">
            <w:pPr>
              <w:pStyle w:val="Body"/>
              <w:keepNext/>
              <w:numPr>
                <w:ilvl w:val="0"/>
                <w:numId w:val="15"/>
              </w:numPr>
              <w:spacing w:after="60" w:line="240" w:lineRule="auto"/>
              <w:ind w:left="342" w:hanging="342"/>
              <w:rPr>
                <w:rFonts w:asciiTheme="minorHAnsi" w:hAnsiTheme="minorHAnsi"/>
                <w:sz w:val="22"/>
                <w:szCs w:val="22"/>
              </w:rPr>
            </w:pPr>
            <w:r w:rsidRPr="00A23B49">
              <w:rPr>
                <w:rFonts w:asciiTheme="minorHAnsi" w:hAnsiTheme="minorHAnsi"/>
                <w:sz w:val="22"/>
                <w:szCs w:val="22"/>
              </w:rPr>
              <w:t>Stabilise frequency within ‘emergency’ defined operating band after a credible contingency resulting in the net disconnection of load.</w:t>
            </w:r>
          </w:p>
          <w:p w14:paraId="22658D27" w14:textId="77777777" w:rsidR="00945D12" w:rsidRPr="00A23B49" w:rsidRDefault="00945D12" w:rsidP="00972E86">
            <w:pPr>
              <w:pStyle w:val="Body"/>
              <w:keepNext/>
              <w:numPr>
                <w:ilvl w:val="0"/>
                <w:numId w:val="15"/>
              </w:numPr>
              <w:spacing w:after="60" w:line="240" w:lineRule="auto"/>
              <w:ind w:left="342" w:hanging="342"/>
              <w:rPr>
                <w:rFonts w:ascii="Lato" w:hAnsi="Lato" w:cs="Arial"/>
                <w:sz w:val="22"/>
                <w:szCs w:val="22"/>
              </w:rPr>
            </w:pPr>
            <w:r w:rsidRPr="00A23B49">
              <w:rPr>
                <w:rFonts w:asciiTheme="minorHAnsi" w:hAnsiTheme="minorHAnsi"/>
                <w:sz w:val="22"/>
                <w:szCs w:val="22"/>
              </w:rPr>
              <w:t>Ensure system security without over frequency generator tripping for all credible contingency events.</w:t>
            </w:r>
          </w:p>
        </w:tc>
        <w:tc>
          <w:tcPr>
            <w:tcW w:w="0" w:type="auto"/>
            <w:tcBorders>
              <w:top w:val="single" w:sz="4" w:space="0" w:color="auto"/>
              <w:bottom w:val="single" w:sz="4" w:space="0" w:color="auto"/>
            </w:tcBorders>
          </w:tcPr>
          <w:p w14:paraId="2CE4C445" w14:textId="77777777" w:rsidR="00945D12" w:rsidRPr="00A23B49" w:rsidRDefault="00945D12" w:rsidP="00972E86">
            <w:pPr>
              <w:pStyle w:val="Body"/>
              <w:keepNext/>
              <w:spacing w:after="60" w:line="240" w:lineRule="auto"/>
              <w:rPr>
                <w:rFonts w:asciiTheme="minorHAnsi" w:hAnsiTheme="minorHAnsi"/>
                <w:sz w:val="22"/>
                <w:szCs w:val="22"/>
              </w:rPr>
            </w:pPr>
            <w:r w:rsidRPr="00A23B49">
              <w:rPr>
                <w:rFonts w:asciiTheme="minorHAnsi" w:hAnsiTheme="minorHAnsi"/>
                <w:sz w:val="22"/>
                <w:szCs w:val="22"/>
              </w:rPr>
              <w:t>System Controller</w:t>
            </w:r>
          </w:p>
        </w:tc>
      </w:tr>
      <w:tr w:rsidR="005C33F7" w:rsidRPr="00AA4D6E" w14:paraId="10B5DF3B" w14:textId="77777777" w:rsidTr="00972E86">
        <w:tc>
          <w:tcPr>
            <w:tcW w:w="0" w:type="auto"/>
            <w:tcBorders>
              <w:top w:val="single" w:sz="4" w:space="0" w:color="auto"/>
              <w:bottom w:val="single" w:sz="4" w:space="0" w:color="auto"/>
            </w:tcBorders>
          </w:tcPr>
          <w:p w14:paraId="435BB1F9" w14:textId="77777777" w:rsidR="00945D12" w:rsidRPr="00A23B49" w:rsidRDefault="00945D12" w:rsidP="00972E86">
            <w:pPr>
              <w:keepNext/>
              <w:spacing w:before="60" w:after="60"/>
              <w:rPr>
                <w:rFonts w:asciiTheme="minorHAnsi" w:hAnsiTheme="minorHAnsi" w:cs="Arial"/>
              </w:rPr>
            </w:pPr>
            <w:r w:rsidRPr="00A23B49">
              <w:t>Regulating frequency control</w:t>
            </w:r>
          </w:p>
        </w:tc>
        <w:tc>
          <w:tcPr>
            <w:tcW w:w="0" w:type="auto"/>
            <w:tcBorders>
              <w:top w:val="single" w:sz="4" w:space="0" w:color="auto"/>
              <w:bottom w:val="single" w:sz="4" w:space="0" w:color="auto"/>
            </w:tcBorders>
          </w:tcPr>
          <w:p w14:paraId="2FC769CF" w14:textId="33FC33ED" w:rsidR="00945D12" w:rsidRPr="00A23B49" w:rsidRDefault="00945D12" w:rsidP="0078356C">
            <w:pPr>
              <w:pStyle w:val="Body"/>
              <w:keepNext/>
              <w:numPr>
                <w:ilvl w:val="0"/>
                <w:numId w:val="15"/>
              </w:numPr>
              <w:spacing w:after="60" w:line="240" w:lineRule="auto"/>
              <w:ind w:left="342" w:hanging="342"/>
              <w:rPr>
                <w:rFonts w:asciiTheme="minorHAnsi" w:hAnsiTheme="minorHAnsi" w:cs="Arial"/>
                <w:sz w:val="22"/>
                <w:szCs w:val="22"/>
              </w:rPr>
            </w:pPr>
            <w:r w:rsidRPr="00A23B49">
              <w:rPr>
                <w:rFonts w:asciiTheme="minorHAnsi" w:hAnsiTheme="minorHAnsi"/>
                <w:sz w:val="22"/>
                <w:szCs w:val="22"/>
              </w:rPr>
              <w:t>Regulate power system frequency within normal defined frequency operating band.</w:t>
            </w:r>
          </w:p>
        </w:tc>
        <w:tc>
          <w:tcPr>
            <w:tcW w:w="0" w:type="auto"/>
            <w:tcBorders>
              <w:top w:val="single" w:sz="4" w:space="0" w:color="auto"/>
              <w:bottom w:val="single" w:sz="4" w:space="0" w:color="auto"/>
            </w:tcBorders>
          </w:tcPr>
          <w:p w14:paraId="10330790" w14:textId="77777777" w:rsidR="00945D12" w:rsidRPr="00A23B49" w:rsidRDefault="00945D12" w:rsidP="00972E86">
            <w:pPr>
              <w:pStyle w:val="Body"/>
              <w:keepNext/>
              <w:spacing w:after="60" w:line="240" w:lineRule="auto"/>
              <w:rPr>
                <w:rFonts w:asciiTheme="minorHAnsi" w:hAnsiTheme="minorHAnsi"/>
                <w:sz w:val="22"/>
                <w:szCs w:val="22"/>
              </w:rPr>
            </w:pPr>
            <w:r w:rsidRPr="00A23B49">
              <w:rPr>
                <w:rFonts w:asciiTheme="minorHAnsi" w:hAnsiTheme="minorHAnsi"/>
                <w:sz w:val="22"/>
                <w:szCs w:val="22"/>
              </w:rPr>
              <w:t>System Controller</w:t>
            </w:r>
          </w:p>
        </w:tc>
      </w:tr>
      <w:tr w:rsidR="005C33F7" w:rsidRPr="00AA4D6E" w14:paraId="5E17D47B" w14:textId="77777777" w:rsidTr="00972E86">
        <w:tc>
          <w:tcPr>
            <w:tcW w:w="0" w:type="auto"/>
            <w:tcBorders>
              <w:top w:val="single" w:sz="4" w:space="0" w:color="auto"/>
              <w:bottom w:val="single" w:sz="4" w:space="0" w:color="auto"/>
            </w:tcBorders>
          </w:tcPr>
          <w:p w14:paraId="2C418B97" w14:textId="77777777" w:rsidR="00945D12" w:rsidRPr="00A23B49" w:rsidRDefault="00945D12" w:rsidP="00972E86">
            <w:pPr>
              <w:keepNext/>
              <w:spacing w:before="60" w:after="60"/>
              <w:rPr>
                <w:rFonts w:asciiTheme="minorHAnsi" w:hAnsiTheme="minorHAnsi"/>
              </w:rPr>
            </w:pPr>
            <w:r w:rsidRPr="00A23B49">
              <w:t>Voltage management / network support</w:t>
            </w:r>
          </w:p>
        </w:tc>
        <w:tc>
          <w:tcPr>
            <w:tcW w:w="0" w:type="auto"/>
            <w:tcBorders>
              <w:top w:val="single" w:sz="4" w:space="0" w:color="auto"/>
              <w:bottom w:val="single" w:sz="4" w:space="0" w:color="auto"/>
            </w:tcBorders>
          </w:tcPr>
          <w:p w14:paraId="6994D953" w14:textId="77777777" w:rsidR="00945D12" w:rsidRPr="00A23B49" w:rsidRDefault="00945D12" w:rsidP="00972E86">
            <w:pPr>
              <w:pStyle w:val="Body"/>
              <w:keepNext/>
              <w:numPr>
                <w:ilvl w:val="0"/>
                <w:numId w:val="15"/>
              </w:numPr>
              <w:spacing w:after="60" w:line="240" w:lineRule="auto"/>
              <w:ind w:left="342" w:hanging="342"/>
              <w:rPr>
                <w:rFonts w:asciiTheme="minorHAnsi" w:hAnsiTheme="minorHAnsi"/>
                <w:sz w:val="22"/>
                <w:szCs w:val="22"/>
              </w:rPr>
            </w:pPr>
            <w:r w:rsidRPr="00A23B49">
              <w:rPr>
                <w:rFonts w:asciiTheme="minorHAnsi" w:hAnsiTheme="minorHAnsi"/>
                <w:sz w:val="22"/>
                <w:szCs w:val="22"/>
              </w:rPr>
              <w:t>Management of network voltage control issues where required.</w:t>
            </w:r>
          </w:p>
          <w:p w14:paraId="0E622B35" w14:textId="77777777" w:rsidR="00945D12" w:rsidRPr="00A23B49" w:rsidRDefault="00945D12" w:rsidP="00972E86">
            <w:pPr>
              <w:pStyle w:val="Body"/>
              <w:keepNext/>
              <w:numPr>
                <w:ilvl w:val="0"/>
                <w:numId w:val="15"/>
              </w:numPr>
              <w:spacing w:after="60" w:line="240" w:lineRule="auto"/>
              <w:ind w:left="342" w:hanging="342"/>
              <w:rPr>
                <w:rFonts w:asciiTheme="minorHAnsi" w:hAnsiTheme="minorHAnsi" w:cs="Arial"/>
                <w:sz w:val="22"/>
                <w:szCs w:val="22"/>
              </w:rPr>
            </w:pPr>
            <w:r w:rsidRPr="00A23B49">
              <w:rPr>
                <w:rFonts w:asciiTheme="minorHAnsi" w:hAnsiTheme="minorHAnsi"/>
                <w:sz w:val="22"/>
                <w:szCs w:val="22"/>
              </w:rPr>
              <w:t>Management of network capacity shortfall issues where required.</w:t>
            </w:r>
          </w:p>
        </w:tc>
        <w:tc>
          <w:tcPr>
            <w:tcW w:w="0" w:type="auto"/>
            <w:tcBorders>
              <w:top w:val="single" w:sz="4" w:space="0" w:color="auto"/>
              <w:bottom w:val="single" w:sz="4" w:space="0" w:color="auto"/>
            </w:tcBorders>
          </w:tcPr>
          <w:p w14:paraId="672052DD" w14:textId="77777777" w:rsidR="00945D12" w:rsidRPr="00A23B49" w:rsidRDefault="00945D12" w:rsidP="00972E86">
            <w:pPr>
              <w:pStyle w:val="Body"/>
              <w:keepNext/>
              <w:spacing w:after="60" w:line="240" w:lineRule="auto"/>
              <w:rPr>
                <w:rFonts w:asciiTheme="minorHAnsi" w:hAnsiTheme="minorHAnsi"/>
                <w:sz w:val="22"/>
                <w:szCs w:val="22"/>
              </w:rPr>
            </w:pPr>
            <w:r w:rsidRPr="00A23B49">
              <w:rPr>
                <w:rFonts w:asciiTheme="minorHAnsi" w:hAnsiTheme="minorHAnsi"/>
                <w:sz w:val="22"/>
                <w:szCs w:val="22"/>
              </w:rPr>
              <w:t>Network Operator</w:t>
            </w:r>
          </w:p>
        </w:tc>
      </w:tr>
      <w:tr w:rsidR="005C33F7" w:rsidRPr="00AA4D6E" w14:paraId="2CC2C83A" w14:textId="77777777" w:rsidTr="00972E86">
        <w:tc>
          <w:tcPr>
            <w:tcW w:w="0" w:type="auto"/>
            <w:tcBorders>
              <w:top w:val="single" w:sz="4" w:space="0" w:color="auto"/>
              <w:bottom w:val="single" w:sz="4" w:space="0" w:color="auto"/>
            </w:tcBorders>
          </w:tcPr>
          <w:p w14:paraId="533F579C" w14:textId="77777777" w:rsidR="00945D12" w:rsidRPr="00A23B49" w:rsidRDefault="00945D12" w:rsidP="00972E86">
            <w:pPr>
              <w:keepNext/>
              <w:spacing w:before="60" w:after="60"/>
              <w:rPr>
                <w:rFonts w:asciiTheme="minorHAnsi" w:hAnsiTheme="minorHAnsi"/>
              </w:rPr>
            </w:pPr>
            <w:r w:rsidRPr="00A23B49">
              <w:t>System restart</w:t>
            </w:r>
          </w:p>
        </w:tc>
        <w:tc>
          <w:tcPr>
            <w:tcW w:w="0" w:type="auto"/>
            <w:tcBorders>
              <w:top w:val="single" w:sz="4" w:space="0" w:color="auto"/>
              <w:bottom w:val="single" w:sz="4" w:space="0" w:color="auto"/>
            </w:tcBorders>
          </w:tcPr>
          <w:p w14:paraId="4010EF36" w14:textId="3CB99155" w:rsidR="00945D12" w:rsidRPr="00A23B49" w:rsidRDefault="00945D12" w:rsidP="00972E86">
            <w:pPr>
              <w:pStyle w:val="Body"/>
              <w:keepNext/>
              <w:numPr>
                <w:ilvl w:val="0"/>
                <w:numId w:val="15"/>
              </w:numPr>
              <w:spacing w:after="60" w:line="240" w:lineRule="auto"/>
              <w:ind w:left="342" w:hanging="342"/>
              <w:rPr>
                <w:rFonts w:ascii="Lato" w:hAnsi="Lato" w:cs="Arial"/>
                <w:sz w:val="22"/>
                <w:szCs w:val="22"/>
              </w:rPr>
            </w:pPr>
            <w:r w:rsidRPr="00A23B49">
              <w:rPr>
                <w:rFonts w:asciiTheme="minorHAnsi" w:hAnsiTheme="minorHAnsi"/>
                <w:sz w:val="22"/>
                <w:szCs w:val="22"/>
              </w:rPr>
              <w:t>Enable the restart of the regulated power systems from a ‘black system’ event.</w:t>
            </w:r>
          </w:p>
        </w:tc>
        <w:tc>
          <w:tcPr>
            <w:tcW w:w="0" w:type="auto"/>
            <w:tcBorders>
              <w:top w:val="single" w:sz="4" w:space="0" w:color="auto"/>
              <w:bottom w:val="single" w:sz="4" w:space="0" w:color="auto"/>
            </w:tcBorders>
          </w:tcPr>
          <w:p w14:paraId="64B5C7E7" w14:textId="77777777" w:rsidR="00945D12" w:rsidRPr="00A23B49" w:rsidRDefault="00945D12" w:rsidP="00972E86">
            <w:pPr>
              <w:pStyle w:val="Body"/>
              <w:keepNext/>
              <w:spacing w:after="60" w:line="240" w:lineRule="auto"/>
              <w:rPr>
                <w:rFonts w:asciiTheme="minorHAnsi" w:hAnsiTheme="minorHAnsi"/>
                <w:sz w:val="22"/>
                <w:szCs w:val="22"/>
              </w:rPr>
            </w:pPr>
            <w:r w:rsidRPr="00A23B49">
              <w:rPr>
                <w:rFonts w:asciiTheme="minorHAnsi" w:hAnsiTheme="minorHAnsi"/>
                <w:sz w:val="22"/>
                <w:szCs w:val="22"/>
              </w:rPr>
              <w:t>System Controller</w:t>
            </w:r>
          </w:p>
        </w:tc>
      </w:tr>
      <w:tr w:rsidR="005C33F7" w:rsidRPr="00AA4D6E" w14:paraId="54CEC704" w14:textId="77777777" w:rsidTr="00972E86">
        <w:tc>
          <w:tcPr>
            <w:tcW w:w="0" w:type="auto"/>
            <w:tcBorders>
              <w:top w:val="single" w:sz="4" w:space="0" w:color="auto"/>
              <w:bottom w:val="single" w:sz="4" w:space="0" w:color="auto"/>
            </w:tcBorders>
          </w:tcPr>
          <w:p w14:paraId="478834B5" w14:textId="77777777" w:rsidR="00945D12" w:rsidRPr="00A23B49" w:rsidRDefault="00945D12" w:rsidP="00972E86">
            <w:pPr>
              <w:keepNext/>
              <w:spacing w:before="60" w:after="60"/>
              <w:rPr>
                <w:rFonts w:asciiTheme="minorHAnsi" w:hAnsiTheme="minorHAnsi"/>
              </w:rPr>
            </w:pPr>
            <w:r w:rsidRPr="00A23B49">
              <w:t>System strength</w:t>
            </w:r>
          </w:p>
        </w:tc>
        <w:tc>
          <w:tcPr>
            <w:tcW w:w="0" w:type="auto"/>
            <w:tcBorders>
              <w:top w:val="single" w:sz="4" w:space="0" w:color="auto"/>
              <w:bottom w:val="single" w:sz="4" w:space="0" w:color="auto"/>
            </w:tcBorders>
          </w:tcPr>
          <w:p w14:paraId="4F5AE336" w14:textId="41A66669" w:rsidR="00945D12" w:rsidRPr="00A23B49" w:rsidRDefault="005C33F7" w:rsidP="00074521">
            <w:pPr>
              <w:pStyle w:val="Body"/>
              <w:keepNext/>
              <w:numPr>
                <w:ilvl w:val="0"/>
                <w:numId w:val="15"/>
              </w:numPr>
              <w:spacing w:after="60" w:line="240" w:lineRule="auto"/>
              <w:ind w:left="342" w:hanging="342"/>
              <w:rPr>
                <w:rFonts w:asciiTheme="minorHAnsi" w:hAnsiTheme="minorHAnsi"/>
                <w:sz w:val="22"/>
                <w:szCs w:val="22"/>
              </w:rPr>
            </w:pPr>
            <w:r w:rsidRPr="00A23B49">
              <w:rPr>
                <w:rFonts w:asciiTheme="minorHAnsi" w:hAnsiTheme="minorHAnsi"/>
                <w:sz w:val="22"/>
                <w:szCs w:val="22"/>
              </w:rPr>
              <w:t>S</w:t>
            </w:r>
            <w:r w:rsidR="00945D12" w:rsidRPr="00A23B49">
              <w:rPr>
                <w:rFonts w:asciiTheme="minorHAnsi" w:hAnsiTheme="minorHAnsi"/>
                <w:sz w:val="22"/>
                <w:szCs w:val="22"/>
              </w:rPr>
              <w:t>ufficient system strength capability to ensure voltage stability and sufficient fault current.</w:t>
            </w:r>
          </w:p>
        </w:tc>
        <w:tc>
          <w:tcPr>
            <w:tcW w:w="0" w:type="auto"/>
            <w:tcBorders>
              <w:top w:val="single" w:sz="4" w:space="0" w:color="auto"/>
              <w:bottom w:val="single" w:sz="4" w:space="0" w:color="auto"/>
            </w:tcBorders>
          </w:tcPr>
          <w:p w14:paraId="6CCB7830" w14:textId="77777777" w:rsidR="00945D12" w:rsidRPr="00A23B49" w:rsidRDefault="00945D12" w:rsidP="00972E86">
            <w:pPr>
              <w:pStyle w:val="Body"/>
              <w:keepNext/>
              <w:spacing w:after="60" w:line="240" w:lineRule="auto"/>
              <w:rPr>
                <w:rFonts w:asciiTheme="minorHAnsi" w:hAnsiTheme="minorHAnsi"/>
                <w:sz w:val="22"/>
                <w:szCs w:val="22"/>
              </w:rPr>
            </w:pPr>
            <w:r w:rsidRPr="00A23B49">
              <w:rPr>
                <w:rFonts w:asciiTheme="minorHAnsi" w:hAnsiTheme="minorHAnsi"/>
                <w:sz w:val="22"/>
                <w:szCs w:val="22"/>
              </w:rPr>
              <w:t>Network Operator</w:t>
            </w:r>
          </w:p>
        </w:tc>
      </w:tr>
      <w:tr w:rsidR="005C33F7" w:rsidRPr="00AA4D6E" w14:paraId="0ECA77AD" w14:textId="77777777" w:rsidTr="00972E86">
        <w:tc>
          <w:tcPr>
            <w:tcW w:w="0" w:type="auto"/>
            <w:tcBorders>
              <w:top w:val="single" w:sz="4" w:space="0" w:color="auto"/>
              <w:bottom w:val="single" w:sz="4" w:space="0" w:color="auto"/>
            </w:tcBorders>
          </w:tcPr>
          <w:p w14:paraId="1BB5CEC7" w14:textId="77777777" w:rsidR="00945D12" w:rsidRPr="00A23B49" w:rsidRDefault="00945D12" w:rsidP="00972E86">
            <w:pPr>
              <w:keepNext/>
              <w:spacing w:before="60" w:after="60"/>
            </w:pPr>
            <w:r w:rsidRPr="00A23B49">
              <w:t>Additional services</w:t>
            </w:r>
          </w:p>
        </w:tc>
        <w:tc>
          <w:tcPr>
            <w:tcW w:w="0" w:type="auto"/>
            <w:tcBorders>
              <w:top w:val="single" w:sz="4" w:space="0" w:color="auto"/>
              <w:bottom w:val="single" w:sz="4" w:space="0" w:color="auto"/>
            </w:tcBorders>
          </w:tcPr>
          <w:p w14:paraId="28CA7878" w14:textId="77777777" w:rsidR="00945D12" w:rsidRPr="00A23B49" w:rsidRDefault="00945D12" w:rsidP="00F51F16">
            <w:pPr>
              <w:pStyle w:val="Body"/>
              <w:keepNext/>
              <w:numPr>
                <w:ilvl w:val="0"/>
                <w:numId w:val="15"/>
              </w:numPr>
              <w:spacing w:after="60" w:line="240" w:lineRule="auto"/>
              <w:ind w:left="342" w:hanging="342"/>
              <w:rPr>
                <w:rFonts w:asciiTheme="minorHAnsi" w:hAnsiTheme="minorHAnsi"/>
                <w:sz w:val="22"/>
                <w:szCs w:val="22"/>
              </w:rPr>
            </w:pPr>
            <w:r w:rsidRPr="00A23B49">
              <w:rPr>
                <w:rFonts w:asciiTheme="minorHAnsi" w:hAnsiTheme="minorHAnsi"/>
                <w:sz w:val="22"/>
                <w:szCs w:val="22"/>
              </w:rPr>
              <w:t>Services necessary to address a system security issue that cannot be managed through the planning timescales, as approved by the Utilities Commission.</w:t>
            </w:r>
          </w:p>
        </w:tc>
        <w:tc>
          <w:tcPr>
            <w:tcW w:w="0" w:type="auto"/>
            <w:tcBorders>
              <w:top w:val="single" w:sz="4" w:space="0" w:color="auto"/>
              <w:bottom w:val="single" w:sz="4" w:space="0" w:color="auto"/>
            </w:tcBorders>
          </w:tcPr>
          <w:p w14:paraId="7A7C54B4" w14:textId="77777777" w:rsidR="00945D12" w:rsidRPr="00A23B49" w:rsidRDefault="00945D12" w:rsidP="00972E86">
            <w:pPr>
              <w:pStyle w:val="Body"/>
              <w:keepNext/>
              <w:spacing w:after="60" w:line="240" w:lineRule="auto"/>
              <w:rPr>
                <w:rFonts w:asciiTheme="minorHAnsi" w:hAnsiTheme="minorHAnsi"/>
                <w:sz w:val="22"/>
                <w:szCs w:val="22"/>
              </w:rPr>
            </w:pPr>
            <w:r w:rsidRPr="00A23B49">
              <w:rPr>
                <w:rFonts w:asciiTheme="minorHAnsi" w:hAnsiTheme="minorHAnsi"/>
                <w:sz w:val="22"/>
                <w:szCs w:val="22"/>
              </w:rPr>
              <w:t>System Controller</w:t>
            </w:r>
          </w:p>
        </w:tc>
      </w:tr>
    </w:tbl>
    <w:p w14:paraId="085DEC1C" w14:textId="77777777" w:rsidR="00945D12" w:rsidRPr="00A11265" w:rsidRDefault="00945D12" w:rsidP="00945D12">
      <w:pPr>
        <w:rPr>
          <w:rFonts w:asciiTheme="minorHAnsi" w:hAnsiTheme="minorHAnsi" w:cs="Arial"/>
        </w:rPr>
      </w:pPr>
    </w:p>
    <w:p w14:paraId="4FC2863F" w14:textId="77777777" w:rsidR="00272466" w:rsidRPr="00A11265" w:rsidRDefault="00CB560D" w:rsidP="00272466">
      <w:pPr>
        <w:rPr>
          <w:rFonts w:asciiTheme="minorHAnsi" w:hAnsiTheme="minorHAnsi" w:cs="Arial"/>
        </w:rPr>
      </w:pPr>
      <w:r w:rsidRPr="00A11265">
        <w:rPr>
          <w:rFonts w:ascii="Arial" w:hAnsi="Arial" w:cs="Arial"/>
        </w:rPr>
        <w:br w:type="page"/>
      </w:r>
      <w:r w:rsidR="00272466" w:rsidRPr="00A11265">
        <w:rPr>
          <w:rFonts w:asciiTheme="minorHAnsi" w:hAnsiTheme="minorHAnsi" w:cs="Arial"/>
        </w:rPr>
        <w:lastRenderedPageBreak/>
        <w:t>Procurement of services which have a system-wide requirement should be the responsibility of the System Controller.</w:t>
      </w:r>
    </w:p>
    <w:p w14:paraId="74A50F80" w14:textId="77777777" w:rsidR="00272466" w:rsidRPr="00A11265" w:rsidRDefault="00272466" w:rsidP="00272466">
      <w:pPr>
        <w:rPr>
          <w:rFonts w:asciiTheme="minorHAnsi" w:hAnsiTheme="minorHAnsi" w:cs="Arial"/>
        </w:rPr>
      </w:pPr>
      <w:r>
        <w:rPr>
          <w:rFonts w:asciiTheme="minorHAnsi" w:hAnsiTheme="minorHAnsi" w:cs="Arial"/>
        </w:rPr>
        <w:t>Procurement of s</w:t>
      </w:r>
      <w:r w:rsidRPr="00A11265">
        <w:rPr>
          <w:rFonts w:asciiTheme="minorHAnsi" w:hAnsiTheme="minorHAnsi" w:cs="Arial"/>
        </w:rPr>
        <w:t>ervices which have a locational requirement, and for which network augmentation may be an alternative, should be the responsibility of the Network Operator. The Network Operator should advise the System Controller of any voltage management/network support and system strength contracts with details it needs for dispatch purposes.</w:t>
      </w:r>
    </w:p>
    <w:p w14:paraId="7B50A1EC" w14:textId="77777777" w:rsidR="00272466" w:rsidRPr="00A11265" w:rsidRDefault="00272466" w:rsidP="00272466">
      <w:pPr>
        <w:rPr>
          <w:rFonts w:asciiTheme="minorHAnsi" w:hAnsiTheme="minorHAnsi" w:cs="Arial"/>
        </w:rPr>
      </w:pPr>
      <w:r w:rsidRPr="00A11265">
        <w:rPr>
          <w:rFonts w:asciiTheme="minorHAnsi" w:hAnsiTheme="minorHAnsi" w:cs="Arial"/>
        </w:rPr>
        <w:t>Regulatory arrangements should require the System Controller to develop and publish detailed descriptions of each type of essential system service and the performance parameters and requirements which must be satisfied in order for a service to qualify as the relevant essential system service.</w:t>
      </w:r>
    </w:p>
    <w:p w14:paraId="5F60E7D3" w14:textId="77777777" w:rsidR="00272466" w:rsidRPr="00A11265" w:rsidRDefault="00272466" w:rsidP="00272466">
      <w:pPr>
        <w:rPr>
          <w:rFonts w:asciiTheme="minorHAnsi" w:hAnsiTheme="minorHAnsi" w:cs="Arial"/>
        </w:rPr>
      </w:pPr>
      <w:r w:rsidRPr="00A11265">
        <w:rPr>
          <w:rFonts w:asciiTheme="minorHAnsi" w:hAnsiTheme="minorHAnsi" w:cs="Arial"/>
        </w:rPr>
        <w:t>Confidence to invest in the NT regulated systems would be enhanced if the types of essential system services for use in the NT regulated systems are codified, and changes to detailed descriptions, performance parameters and requirements made by the System Controller are subject to the approval of the Utilities Commission.</w:t>
      </w:r>
    </w:p>
    <w:p w14:paraId="23AA64B1" w14:textId="77777777" w:rsidR="00272466" w:rsidRPr="00A11265" w:rsidRDefault="00272466" w:rsidP="00272466">
      <w:pPr>
        <w:rPr>
          <w:rFonts w:asciiTheme="minorHAnsi" w:hAnsiTheme="minorHAnsi" w:cs="Arial"/>
        </w:rPr>
      </w:pPr>
      <w:r w:rsidRPr="00A11265">
        <w:rPr>
          <w:rFonts w:asciiTheme="minorHAnsi" w:hAnsiTheme="minorHAnsi" w:cs="Arial"/>
        </w:rPr>
        <w:t>Where a shortfall in power system capability is identified resulting in a system security issue that cannot be managed through the planning timescale, the framework should allow the flexibility for the System Controller to define and procure additional essential system services on a time-limited basis where required and subject to the prior approval of the Utilities Commission.</w:t>
      </w:r>
    </w:p>
    <w:p w14:paraId="0D2EE9C9" w14:textId="2712C5DE" w:rsidR="00272466" w:rsidRDefault="00272466">
      <w:pPr>
        <w:rPr>
          <w:rFonts w:ascii="Arial" w:hAnsi="Arial" w:cs="Arial"/>
        </w:rPr>
      </w:pPr>
      <w:r>
        <w:rPr>
          <w:rFonts w:ascii="Arial" w:hAnsi="Arial" w:cs="Arial"/>
        </w:rPr>
        <w:br w:type="page"/>
      </w:r>
    </w:p>
    <w:p w14:paraId="5BCB8BE0" w14:textId="7F086DB3" w:rsidR="00CB560D" w:rsidRPr="00A11265" w:rsidRDefault="00CB560D" w:rsidP="00CB560D">
      <w:pPr>
        <w:pStyle w:val="Heading1"/>
        <w:rPr>
          <w:lang w:eastAsia="en-AU"/>
        </w:rPr>
      </w:pPr>
      <w:bookmarkStart w:id="156" w:name="_Toc61956193"/>
      <w:r w:rsidRPr="00A11265">
        <w:rPr>
          <w:lang w:eastAsia="en-AU"/>
        </w:rPr>
        <w:lastRenderedPageBreak/>
        <w:t xml:space="preserve">Service </w:t>
      </w:r>
      <w:r w:rsidR="00146454" w:rsidRPr="00A11265">
        <w:rPr>
          <w:lang w:eastAsia="en-AU"/>
        </w:rPr>
        <w:t>r</w:t>
      </w:r>
      <w:r w:rsidRPr="00A11265">
        <w:rPr>
          <w:lang w:eastAsia="en-AU"/>
        </w:rPr>
        <w:t>equirements</w:t>
      </w:r>
      <w:bookmarkEnd w:id="156"/>
    </w:p>
    <w:p w14:paraId="2AC1F1A2" w14:textId="25D6FE7A" w:rsidR="00CB560D" w:rsidRPr="00A11265" w:rsidRDefault="00CB560D" w:rsidP="00CB560D">
      <w:pPr>
        <w:rPr>
          <w:rFonts w:asciiTheme="minorHAnsi" w:hAnsiTheme="minorHAnsi" w:cs="Arial"/>
        </w:rPr>
      </w:pPr>
      <w:r w:rsidRPr="00A11265">
        <w:rPr>
          <w:rFonts w:asciiTheme="minorHAnsi" w:hAnsiTheme="minorHAnsi" w:cs="Arial"/>
        </w:rPr>
        <w:t>Once the services are defined</w:t>
      </w:r>
      <w:r w:rsidR="008D7141" w:rsidRPr="00A11265">
        <w:rPr>
          <w:rFonts w:asciiTheme="minorHAnsi" w:hAnsiTheme="minorHAnsi" w:cs="Arial"/>
        </w:rPr>
        <w:t xml:space="preserve"> and specified</w:t>
      </w:r>
      <w:r w:rsidRPr="00A11265">
        <w:rPr>
          <w:rFonts w:asciiTheme="minorHAnsi" w:hAnsiTheme="minorHAnsi" w:cs="Arial"/>
        </w:rPr>
        <w:t xml:space="preserve">, it will be possible to more accurately determine combinations and </w:t>
      </w:r>
      <w:r w:rsidR="008D7141" w:rsidRPr="00A11265">
        <w:rPr>
          <w:rFonts w:asciiTheme="minorHAnsi" w:hAnsiTheme="minorHAnsi" w:cs="Arial"/>
        </w:rPr>
        <w:t>amounts</w:t>
      </w:r>
      <w:r w:rsidRPr="00A11265">
        <w:rPr>
          <w:rFonts w:asciiTheme="minorHAnsi" w:hAnsiTheme="minorHAnsi" w:cs="Arial"/>
        </w:rPr>
        <w:t xml:space="preserve"> of</w:t>
      </w:r>
      <w:r w:rsidR="00566292" w:rsidRPr="00A11265">
        <w:rPr>
          <w:rFonts w:asciiTheme="minorHAnsi" w:hAnsiTheme="minorHAnsi" w:cs="Arial"/>
        </w:rPr>
        <w:t xml:space="preserve"> essential system services</w:t>
      </w:r>
      <w:r w:rsidRPr="00A11265">
        <w:rPr>
          <w:rFonts w:asciiTheme="minorHAnsi" w:hAnsiTheme="minorHAnsi" w:cs="Arial"/>
        </w:rPr>
        <w:t xml:space="preserve"> required to meet the system </w:t>
      </w:r>
      <w:r w:rsidR="004C3E9C" w:rsidRPr="00A11265">
        <w:rPr>
          <w:rFonts w:asciiTheme="minorHAnsi" w:hAnsiTheme="minorHAnsi" w:cs="Arial"/>
        </w:rPr>
        <w:t>needs</w:t>
      </w:r>
      <w:r w:rsidRPr="00A11265">
        <w:rPr>
          <w:rFonts w:asciiTheme="minorHAnsi" w:hAnsiTheme="minorHAnsi" w:cs="Arial"/>
        </w:rPr>
        <w:t>.</w:t>
      </w:r>
    </w:p>
    <w:p w14:paraId="6D5FA4D9" w14:textId="216D92C0" w:rsidR="00CB560D" w:rsidRPr="00A11265" w:rsidRDefault="00CB560D" w:rsidP="00CB560D">
      <w:pPr>
        <w:rPr>
          <w:rFonts w:asciiTheme="minorHAnsi" w:hAnsiTheme="minorHAnsi" w:cs="Arial"/>
        </w:rPr>
      </w:pPr>
      <w:r w:rsidRPr="00A11265">
        <w:rPr>
          <w:rFonts w:asciiTheme="minorHAnsi" w:hAnsiTheme="minorHAnsi" w:cs="Arial"/>
        </w:rPr>
        <w:t xml:space="preserve">Further, it will be desirable for long-term efficiency of </w:t>
      </w:r>
      <w:r w:rsidR="004C3E9C" w:rsidRPr="00A11265">
        <w:rPr>
          <w:rFonts w:asciiTheme="minorHAnsi" w:hAnsiTheme="minorHAnsi" w:cs="Arial"/>
        </w:rPr>
        <w:t>essential system services</w:t>
      </w:r>
      <w:r w:rsidRPr="00A11265">
        <w:rPr>
          <w:rFonts w:asciiTheme="minorHAnsi" w:hAnsiTheme="minorHAnsi" w:cs="Arial"/>
        </w:rPr>
        <w:t xml:space="preserve"> procurement and provision to forecast the future </w:t>
      </w:r>
      <w:r w:rsidR="004C3E9C" w:rsidRPr="00A11265">
        <w:rPr>
          <w:rFonts w:asciiTheme="minorHAnsi" w:hAnsiTheme="minorHAnsi" w:cs="Arial"/>
        </w:rPr>
        <w:t>requirements</w:t>
      </w:r>
      <w:r w:rsidRPr="00A11265">
        <w:rPr>
          <w:rFonts w:asciiTheme="minorHAnsi" w:hAnsiTheme="minorHAnsi" w:cs="Arial"/>
        </w:rPr>
        <w:t xml:space="preserve"> for individual </w:t>
      </w:r>
      <w:r w:rsidR="004C3E9C" w:rsidRPr="00A11265">
        <w:rPr>
          <w:rFonts w:asciiTheme="minorHAnsi" w:hAnsiTheme="minorHAnsi" w:cs="Arial"/>
        </w:rPr>
        <w:t>essential system services</w:t>
      </w:r>
      <w:r w:rsidRPr="00A11265">
        <w:rPr>
          <w:rFonts w:asciiTheme="minorHAnsi" w:hAnsiTheme="minorHAnsi" w:cs="Arial"/>
        </w:rPr>
        <w:t xml:space="preserve"> over a longer </w:t>
      </w:r>
      <w:r w:rsidR="00901D6D">
        <w:rPr>
          <w:rFonts w:asciiTheme="minorHAnsi" w:hAnsiTheme="minorHAnsi" w:cs="Arial"/>
        </w:rPr>
        <w:t xml:space="preserve">time </w:t>
      </w:r>
      <w:r w:rsidRPr="00A11265">
        <w:rPr>
          <w:rFonts w:asciiTheme="minorHAnsi" w:hAnsiTheme="minorHAnsi" w:cs="Arial"/>
        </w:rPr>
        <w:t>horizon (relative to real-time).</w:t>
      </w:r>
    </w:p>
    <w:p w14:paraId="0944003D" w14:textId="6F4E4484" w:rsidR="00CB560D" w:rsidRPr="00A11265" w:rsidRDefault="00CF0556" w:rsidP="00CB560D">
      <w:pPr>
        <w:pStyle w:val="Heading2"/>
        <w:keepNext/>
        <w:rPr>
          <w:lang w:eastAsia="en-AU"/>
        </w:rPr>
      </w:pPr>
      <w:bookmarkStart w:id="157" w:name="_Toc61956194"/>
      <w:r w:rsidRPr="00A11265">
        <w:rPr>
          <w:lang w:eastAsia="en-AU"/>
        </w:rPr>
        <w:t>Background</w:t>
      </w:r>
      <w:bookmarkEnd w:id="157"/>
    </w:p>
    <w:p w14:paraId="10C9CAC0" w14:textId="23A147F6" w:rsidR="00CB560D" w:rsidRPr="00A11265" w:rsidRDefault="00566292" w:rsidP="00CB560D">
      <w:pPr>
        <w:rPr>
          <w:rFonts w:asciiTheme="minorHAnsi" w:hAnsiTheme="minorHAnsi" w:cs="Arial"/>
        </w:rPr>
      </w:pPr>
      <w:r w:rsidRPr="00A11265">
        <w:rPr>
          <w:rFonts w:asciiTheme="minorHAnsi" w:hAnsiTheme="minorHAnsi" w:cs="Arial"/>
        </w:rPr>
        <w:t>Essential system services</w:t>
      </w:r>
      <w:r w:rsidR="00CB560D" w:rsidRPr="00A11265">
        <w:rPr>
          <w:rFonts w:asciiTheme="minorHAnsi" w:hAnsiTheme="minorHAnsi" w:cs="Arial"/>
        </w:rPr>
        <w:t xml:space="preserve"> requirements in the </w:t>
      </w:r>
      <w:r w:rsidR="008A26B8" w:rsidRPr="00A11265">
        <w:rPr>
          <w:rFonts w:asciiTheme="minorHAnsi" w:hAnsiTheme="minorHAnsi" w:cs="Arial"/>
        </w:rPr>
        <w:t>NT</w:t>
      </w:r>
      <w:r w:rsidR="00CB560D" w:rsidRPr="00A11265">
        <w:rPr>
          <w:rFonts w:asciiTheme="minorHAnsi" w:hAnsiTheme="minorHAnsi" w:cs="Arial"/>
        </w:rPr>
        <w:t xml:space="preserve"> regulated systems</w:t>
      </w:r>
      <w:r w:rsidR="008A26B8" w:rsidRPr="00A11265">
        <w:rPr>
          <w:rFonts w:asciiTheme="minorHAnsi" w:hAnsiTheme="minorHAnsi" w:cs="Arial"/>
        </w:rPr>
        <w:t xml:space="preserve"> (Darwin-Katherine, Alice Springs and Tennant Creek)</w:t>
      </w:r>
      <w:r w:rsidR="00CB560D" w:rsidRPr="00A11265">
        <w:rPr>
          <w:rFonts w:asciiTheme="minorHAnsi" w:hAnsiTheme="minorHAnsi" w:cs="Arial"/>
        </w:rPr>
        <w:t xml:space="preserve"> are determined by the System Controller in the context of system standards and service standards.</w:t>
      </w:r>
    </w:p>
    <w:p w14:paraId="2873F022" w14:textId="0DD04B47" w:rsidR="00CB560D" w:rsidRPr="00A11265" w:rsidRDefault="00CB560D" w:rsidP="00CB560D">
      <w:pPr>
        <w:rPr>
          <w:rFonts w:asciiTheme="minorHAnsi" w:hAnsiTheme="minorHAnsi" w:cs="Arial"/>
        </w:rPr>
      </w:pPr>
      <w:r w:rsidRPr="00A11265">
        <w:rPr>
          <w:rFonts w:asciiTheme="minorHAnsi" w:hAnsiTheme="minorHAnsi" w:cs="Arial"/>
        </w:rPr>
        <w:t xml:space="preserve">There is no requirement in the technical codes for the System Controller to publish information about the </w:t>
      </w:r>
      <w:r w:rsidR="00566292" w:rsidRPr="00A11265">
        <w:rPr>
          <w:rFonts w:asciiTheme="minorHAnsi" w:hAnsiTheme="minorHAnsi" w:cs="Arial"/>
        </w:rPr>
        <w:t>essential system services</w:t>
      </w:r>
      <w:r w:rsidRPr="00A11265">
        <w:rPr>
          <w:rFonts w:asciiTheme="minorHAnsi" w:hAnsiTheme="minorHAnsi" w:cs="Arial"/>
        </w:rPr>
        <w:t xml:space="preserve"> dispatched or to forecast requirements.</w:t>
      </w:r>
    </w:p>
    <w:p w14:paraId="02D00DAA" w14:textId="4054C673" w:rsidR="00CB560D" w:rsidRPr="00A11265" w:rsidRDefault="00CB560D" w:rsidP="00D9724C">
      <w:pPr>
        <w:pStyle w:val="Heading3"/>
        <w:rPr>
          <w:szCs w:val="24"/>
          <w:lang w:eastAsia="en-AU"/>
        </w:rPr>
      </w:pPr>
      <w:r w:rsidRPr="00A11265">
        <w:rPr>
          <w:szCs w:val="24"/>
          <w:lang w:eastAsia="en-AU"/>
        </w:rPr>
        <w:t>System standards</w:t>
      </w:r>
    </w:p>
    <w:p w14:paraId="02A8E6E9" w14:textId="659DD77D" w:rsidR="00CB560D" w:rsidRPr="00A11265" w:rsidRDefault="00CB560D" w:rsidP="00CB560D">
      <w:pPr>
        <w:rPr>
          <w:rFonts w:asciiTheme="minorHAnsi" w:hAnsiTheme="minorHAnsi" w:cs="Arial"/>
        </w:rPr>
      </w:pPr>
      <w:r w:rsidRPr="00A11265">
        <w:rPr>
          <w:rFonts w:asciiTheme="minorHAnsi" w:hAnsiTheme="minorHAnsi" w:cs="Arial"/>
        </w:rPr>
        <w:t xml:space="preserve">System standards define the technical parameters for the </w:t>
      </w:r>
      <w:r w:rsidR="0057209D" w:rsidRPr="00A11265">
        <w:rPr>
          <w:rFonts w:asciiTheme="minorHAnsi" w:hAnsiTheme="minorHAnsi" w:cs="Arial"/>
        </w:rPr>
        <w:t>NT’s</w:t>
      </w:r>
      <w:r w:rsidRPr="00A11265">
        <w:rPr>
          <w:rFonts w:asciiTheme="minorHAnsi" w:hAnsiTheme="minorHAnsi" w:cs="Arial"/>
        </w:rPr>
        <w:t xml:space="preserve"> regulated systems. </w:t>
      </w:r>
    </w:p>
    <w:p w14:paraId="24AF3C4F" w14:textId="7D0F9620" w:rsidR="00CB560D" w:rsidRPr="00A11265" w:rsidRDefault="00CB560D" w:rsidP="00CB560D">
      <w:pPr>
        <w:rPr>
          <w:rFonts w:asciiTheme="minorHAnsi" w:hAnsiTheme="minorHAnsi" w:cs="Arial"/>
        </w:rPr>
      </w:pPr>
      <w:r w:rsidRPr="00A11265">
        <w:rPr>
          <w:rFonts w:asciiTheme="minorHAnsi" w:hAnsiTheme="minorHAnsi" w:cs="Arial"/>
        </w:rPr>
        <w:t xml:space="preserve">The SCTC requires the System Controller to arrange the required </w:t>
      </w:r>
      <w:r w:rsidR="00566292" w:rsidRPr="00A11265">
        <w:rPr>
          <w:rFonts w:asciiTheme="minorHAnsi" w:hAnsiTheme="minorHAnsi" w:cs="Arial"/>
        </w:rPr>
        <w:t>essential system services</w:t>
      </w:r>
      <w:r w:rsidRPr="00A11265">
        <w:rPr>
          <w:rFonts w:asciiTheme="minorHAnsi" w:hAnsiTheme="minorHAnsi" w:cs="Arial"/>
        </w:rPr>
        <w:t xml:space="preserve"> to maintain power system security, defined as:</w:t>
      </w:r>
      <w:r w:rsidRPr="00A11265">
        <w:rPr>
          <w:rFonts w:asciiTheme="minorHAnsi" w:hAnsiTheme="minorHAnsi"/>
          <w:vertAlign w:val="superscript"/>
        </w:rPr>
        <w:footnoteReference w:id="21"/>
      </w:r>
    </w:p>
    <w:p w14:paraId="71A96DFF" w14:textId="6090C5FA" w:rsidR="00CB560D" w:rsidRPr="00A11265" w:rsidRDefault="00CB560D" w:rsidP="001F613E">
      <w:pPr>
        <w:pStyle w:val="ListParagraph"/>
        <w:numPr>
          <w:ilvl w:val="0"/>
          <w:numId w:val="11"/>
        </w:numPr>
        <w:spacing w:before="200"/>
        <w:ind w:left="426"/>
        <w:rPr>
          <w:rFonts w:cs="Arial"/>
        </w:rPr>
      </w:pPr>
      <w:r w:rsidRPr="00A11265">
        <w:rPr>
          <w:rFonts w:cs="Arial"/>
        </w:rPr>
        <w:t>maint</w:t>
      </w:r>
      <w:r w:rsidR="00901D6D">
        <w:rPr>
          <w:rFonts w:cs="Arial"/>
        </w:rPr>
        <w:t>aining</w:t>
      </w:r>
      <w:r w:rsidRPr="00A11265">
        <w:rPr>
          <w:rFonts w:cs="Arial"/>
        </w:rPr>
        <w:t xml:space="preserve"> an adequate power system frequency</w:t>
      </w:r>
    </w:p>
    <w:p w14:paraId="0BEDB6E4" w14:textId="77777777" w:rsidR="00CB560D" w:rsidRPr="00A11265" w:rsidRDefault="00CB560D" w:rsidP="001F613E">
      <w:pPr>
        <w:pStyle w:val="ListParagraph"/>
        <w:numPr>
          <w:ilvl w:val="0"/>
          <w:numId w:val="11"/>
        </w:numPr>
        <w:spacing w:before="200"/>
        <w:ind w:left="426"/>
        <w:rPr>
          <w:rFonts w:cs="Arial"/>
        </w:rPr>
      </w:pPr>
      <w:r w:rsidRPr="00A11265">
        <w:rPr>
          <w:rFonts w:cs="Arial"/>
        </w:rPr>
        <w:t>maintaining power system voltages within the declared standards and limits</w:t>
      </w:r>
    </w:p>
    <w:p w14:paraId="398E07FE" w14:textId="77777777" w:rsidR="00CB560D" w:rsidRPr="00A11265" w:rsidRDefault="00CB560D" w:rsidP="001F613E">
      <w:pPr>
        <w:pStyle w:val="ListParagraph"/>
        <w:numPr>
          <w:ilvl w:val="0"/>
          <w:numId w:val="11"/>
        </w:numPr>
        <w:spacing w:before="200"/>
        <w:ind w:left="426"/>
        <w:rPr>
          <w:rFonts w:cs="Arial"/>
        </w:rPr>
      </w:pPr>
      <w:r w:rsidRPr="00A11265">
        <w:rPr>
          <w:rFonts w:cs="Arial"/>
        </w:rPr>
        <w:t>maintaining the stability of a power system</w:t>
      </w:r>
    </w:p>
    <w:p w14:paraId="18D579D6" w14:textId="7360B86A" w:rsidR="00CB560D" w:rsidRPr="00A11265" w:rsidRDefault="00CB560D" w:rsidP="001F613E">
      <w:pPr>
        <w:pStyle w:val="ListParagraph"/>
        <w:numPr>
          <w:ilvl w:val="0"/>
          <w:numId w:val="11"/>
        </w:numPr>
        <w:spacing w:before="200"/>
        <w:ind w:left="426"/>
        <w:rPr>
          <w:rFonts w:cs="Arial"/>
        </w:rPr>
      </w:pPr>
      <w:r w:rsidRPr="00A11265">
        <w:rPr>
          <w:rFonts w:cs="Arial"/>
        </w:rPr>
        <w:t>ensuring that under credible contingency events, the components of a power system are not overloaded</w:t>
      </w:r>
    </w:p>
    <w:p w14:paraId="50AFC30F" w14:textId="77777777" w:rsidR="00CB560D" w:rsidRPr="00A11265" w:rsidRDefault="00CB560D" w:rsidP="001F613E">
      <w:pPr>
        <w:pStyle w:val="ListParagraph"/>
        <w:numPr>
          <w:ilvl w:val="0"/>
          <w:numId w:val="11"/>
        </w:numPr>
        <w:spacing w:before="200"/>
        <w:ind w:left="426"/>
        <w:rPr>
          <w:rFonts w:cs="Arial"/>
        </w:rPr>
      </w:pPr>
      <w:proofErr w:type="gramStart"/>
      <w:r w:rsidRPr="00A11265">
        <w:rPr>
          <w:rFonts w:cs="Arial"/>
        </w:rPr>
        <w:t>carrying</w:t>
      </w:r>
      <w:proofErr w:type="gramEnd"/>
      <w:r w:rsidRPr="00A11265">
        <w:rPr>
          <w:rFonts w:cs="Arial"/>
        </w:rPr>
        <w:t xml:space="preserve"> out all appropriate actions to restore a power system to a secure condition following either a minor or major disruptive event.</w:t>
      </w:r>
    </w:p>
    <w:p w14:paraId="01DAF8C2" w14:textId="77777777" w:rsidR="00CB560D" w:rsidRPr="00A11265" w:rsidRDefault="00CB560D" w:rsidP="00CB560D">
      <w:pPr>
        <w:rPr>
          <w:rFonts w:asciiTheme="minorHAnsi" w:hAnsiTheme="minorHAnsi" w:cs="Arial"/>
        </w:rPr>
      </w:pPr>
      <w:r w:rsidRPr="00A11265">
        <w:rPr>
          <w:rFonts w:asciiTheme="minorHAnsi" w:hAnsiTheme="minorHAnsi" w:cs="Arial"/>
        </w:rPr>
        <w:t>The SSG defines the technical levels of frequency and voltage that are deemed to be adequate.</w:t>
      </w:r>
      <w:r w:rsidR="00FB5318" w:rsidRPr="00A11265">
        <w:rPr>
          <w:rStyle w:val="FootnoteReference"/>
          <w:rFonts w:asciiTheme="minorHAnsi" w:hAnsiTheme="minorHAnsi" w:cs="Arial"/>
        </w:rPr>
        <w:footnoteReference w:id="22"/>
      </w:r>
    </w:p>
    <w:p w14:paraId="4885E9F1" w14:textId="3AFE7DEA" w:rsidR="00CB560D" w:rsidRPr="00A11265" w:rsidRDefault="00CB560D" w:rsidP="00D9724C">
      <w:pPr>
        <w:pStyle w:val="Heading3"/>
        <w:rPr>
          <w:szCs w:val="24"/>
          <w:lang w:eastAsia="en-AU"/>
        </w:rPr>
      </w:pPr>
      <w:r w:rsidRPr="00A11265">
        <w:rPr>
          <w:szCs w:val="24"/>
          <w:lang w:eastAsia="en-AU"/>
        </w:rPr>
        <w:t>Service standards</w:t>
      </w:r>
    </w:p>
    <w:p w14:paraId="546C969F" w14:textId="02994549" w:rsidR="00CB560D" w:rsidRPr="00A11265" w:rsidRDefault="00CB560D" w:rsidP="00CB560D">
      <w:pPr>
        <w:rPr>
          <w:rFonts w:asciiTheme="minorHAnsi" w:hAnsiTheme="minorHAnsi" w:cs="Arial"/>
        </w:rPr>
      </w:pPr>
      <w:r w:rsidRPr="00A11265">
        <w:rPr>
          <w:rFonts w:asciiTheme="minorHAnsi" w:hAnsiTheme="minorHAnsi" w:cs="Arial"/>
        </w:rPr>
        <w:t xml:space="preserve">In the </w:t>
      </w:r>
      <w:r w:rsidR="00586102" w:rsidRPr="00A11265">
        <w:rPr>
          <w:rFonts w:asciiTheme="minorHAnsi" w:hAnsiTheme="minorHAnsi" w:cs="Arial"/>
        </w:rPr>
        <w:t>NT</w:t>
      </w:r>
      <w:r w:rsidRPr="00A11265">
        <w:rPr>
          <w:rFonts w:asciiTheme="minorHAnsi" w:hAnsiTheme="minorHAnsi" w:cs="Arial"/>
        </w:rPr>
        <w:t xml:space="preserve">’s regulated systems, standards for the provision of </w:t>
      </w:r>
      <w:r w:rsidR="00566292" w:rsidRPr="00A11265">
        <w:rPr>
          <w:rFonts w:asciiTheme="minorHAnsi" w:hAnsiTheme="minorHAnsi" w:cs="Arial"/>
        </w:rPr>
        <w:t>essential system services</w:t>
      </w:r>
      <w:r w:rsidRPr="00A11265">
        <w:rPr>
          <w:rFonts w:asciiTheme="minorHAnsi" w:hAnsiTheme="minorHAnsi" w:cs="Arial"/>
        </w:rPr>
        <w:t xml:space="preserve"> serve as a guide for system participants regarding service requirements to maintain the system within the system standards.</w:t>
      </w:r>
    </w:p>
    <w:p w14:paraId="64DB3AF6" w14:textId="25544072" w:rsidR="00CB560D" w:rsidRPr="00A11265" w:rsidRDefault="006C581F" w:rsidP="00CB560D">
      <w:pPr>
        <w:rPr>
          <w:rFonts w:asciiTheme="minorHAnsi" w:hAnsiTheme="minorHAnsi" w:cs="Arial"/>
        </w:rPr>
      </w:pPr>
      <w:r w:rsidRPr="00A11265">
        <w:rPr>
          <w:rFonts w:asciiTheme="minorHAnsi" w:hAnsiTheme="minorHAnsi" w:cs="Arial"/>
        </w:rPr>
        <w:t>T</w:t>
      </w:r>
      <w:r w:rsidR="00CB560D" w:rsidRPr="00A11265">
        <w:rPr>
          <w:rFonts w:asciiTheme="minorHAnsi" w:hAnsiTheme="minorHAnsi" w:cs="Arial"/>
        </w:rPr>
        <w:t xml:space="preserve">he SSG outlines minimum </w:t>
      </w:r>
      <w:r w:rsidR="00566292" w:rsidRPr="00A11265">
        <w:rPr>
          <w:rFonts w:asciiTheme="minorHAnsi" w:hAnsiTheme="minorHAnsi" w:cs="Arial"/>
        </w:rPr>
        <w:t>s</w:t>
      </w:r>
      <w:r w:rsidR="00CB560D" w:rsidRPr="00A11265">
        <w:rPr>
          <w:rFonts w:asciiTheme="minorHAnsi" w:hAnsiTheme="minorHAnsi" w:cs="Arial"/>
        </w:rPr>
        <w:t xml:space="preserve">ervice </w:t>
      </w:r>
      <w:r w:rsidR="00566292" w:rsidRPr="00A11265">
        <w:rPr>
          <w:rFonts w:asciiTheme="minorHAnsi" w:hAnsiTheme="minorHAnsi" w:cs="Arial"/>
        </w:rPr>
        <w:t>s</w:t>
      </w:r>
      <w:r w:rsidR="00CB560D" w:rsidRPr="00A11265">
        <w:rPr>
          <w:rFonts w:asciiTheme="minorHAnsi" w:hAnsiTheme="minorHAnsi" w:cs="Arial"/>
        </w:rPr>
        <w:t xml:space="preserve">tandards for </w:t>
      </w:r>
      <w:r w:rsidR="00EE6B77" w:rsidRPr="00A11265">
        <w:rPr>
          <w:rFonts w:asciiTheme="minorHAnsi" w:hAnsiTheme="minorHAnsi" w:cs="Arial"/>
        </w:rPr>
        <w:t>Regulating R</w:t>
      </w:r>
      <w:r w:rsidR="00381443" w:rsidRPr="00A11265">
        <w:rPr>
          <w:rFonts w:asciiTheme="minorHAnsi" w:hAnsiTheme="minorHAnsi" w:cs="Arial"/>
        </w:rPr>
        <w:t>eserve</w:t>
      </w:r>
      <w:r w:rsidR="003B0B44" w:rsidRPr="00A11265">
        <w:rPr>
          <w:rFonts w:asciiTheme="minorHAnsi" w:hAnsiTheme="minorHAnsi" w:cs="Arial"/>
        </w:rPr>
        <w:t xml:space="preserve"> (R-FCAS)</w:t>
      </w:r>
      <w:r w:rsidR="00381443" w:rsidRPr="00A11265">
        <w:rPr>
          <w:rFonts w:asciiTheme="minorHAnsi" w:hAnsiTheme="minorHAnsi" w:cs="Arial"/>
        </w:rPr>
        <w:t xml:space="preserve"> and contingency</w:t>
      </w:r>
      <w:r w:rsidR="00566292" w:rsidRPr="00A11265">
        <w:rPr>
          <w:rFonts w:asciiTheme="minorHAnsi" w:hAnsiTheme="minorHAnsi" w:cs="Arial"/>
        </w:rPr>
        <w:t xml:space="preserve"> s</w:t>
      </w:r>
      <w:r w:rsidR="00EE6B77" w:rsidRPr="00A11265">
        <w:rPr>
          <w:rFonts w:asciiTheme="minorHAnsi" w:hAnsiTheme="minorHAnsi" w:cs="Arial"/>
        </w:rPr>
        <w:t xml:space="preserve">pinning </w:t>
      </w:r>
      <w:r w:rsidR="00566292" w:rsidRPr="00A11265">
        <w:rPr>
          <w:rFonts w:asciiTheme="minorHAnsi" w:hAnsiTheme="minorHAnsi" w:cs="Arial"/>
        </w:rPr>
        <w:t>r</w:t>
      </w:r>
      <w:r w:rsidR="00381443" w:rsidRPr="00A11265">
        <w:rPr>
          <w:rFonts w:asciiTheme="minorHAnsi" w:hAnsiTheme="minorHAnsi" w:cs="Arial"/>
        </w:rPr>
        <w:t>eserve</w:t>
      </w:r>
      <w:r w:rsidR="00CB560D" w:rsidRPr="00A11265">
        <w:rPr>
          <w:rFonts w:asciiTheme="minorHAnsi" w:hAnsiTheme="minorHAnsi" w:cs="Arial"/>
        </w:rPr>
        <w:t xml:space="preserve"> for each of the </w:t>
      </w:r>
      <w:r w:rsidR="00F17647">
        <w:rPr>
          <w:rFonts w:asciiTheme="minorHAnsi" w:hAnsiTheme="minorHAnsi" w:cs="Arial"/>
        </w:rPr>
        <w:t>NT</w:t>
      </w:r>
      <w:r w:rsidR="00CB560D" w:rsidRPr="00A11265">
        <w:rPr>
          <w:rFonts w:asciiTheme="minorHAnsi" w:hAnsiTheme="minorHAnsi" w:cs="Arial"/>
        </w:rPr>
        <w:t xml:space="preserve">’s three regulated </w:t>
      </w:r>
      <w:r w:rsidR="00DA2687">
        <w:rPr>
          <w:rFonts w:asciiTheme="minorHAnsi" w:hAnsiTheme="minorHAnsi" w:cs="Arial"/>
        </w:rPr>
        <w:t>power</w:t>
      </w:r>
      <w:r w:rsidR="00CB560D" w:rsidRPr="00A11265">
        <w:rPr>
          <w:rFonts w:asciiTheme="minorHAnsi" w:hAnsiTheme="minorHAnsi" w:cs="Arial"/>
        </w:rPr>
        <w:t xml:space="preserve"> systems as follows</w:t>
      </w:r>
      <w:r w:rsidR="00320A0D" w:rsidRPr="00A11265">
        <w:rPr>
          <w:rFonts w:asciiTheme="minorHAnsi" w:hAnsiTheme="minorHAnsi" w:cs="Arial"/>
        </w:rPr>
        <w:t>.</w:t>
      </w:r>
    </w:p>
    <w:p w14:paraId="4971CA1B" w14:textId="7D3231B0" w:rsidR="00CB560D" w:rsidRPr="00A11265" w:rsidRDefault="00CB560D" w:rsidP="001F613E">
      <w:pPr>
        <w:pStyle w:val="ListParagraph"/>
        <w:numPr>
          <w:ilvl w:val="0"/>
          <w:numId w:val="11"/>
        </w:numPr>
        <w:spacing w:before="200"/>
        <w:ind w:left="426"/>
        <w:rPr>
          <w:rFonts w:cs="Arial"/>
        </w:rPr>
      </w:pPr>
      <w:r w:rsidRPr="00A11265">
        <w:rPr>
          <w:rFonts w:cs="Arial"/>
        </w:rPr>
        <w:t>Darwin</w:t>
      </w:r>
      <w:r w:rsidRPr="00A11265">
        <w:rPr>
          <w:rFonts w:cs="Arial"/>
        </w:rPr>
        <w:noBreakHyphen/>
        <w:t xml:space="preserve">Katherine </w:t>
      </w:r>
      <w:r w:rsidR="00566292" w:rsidRPr="00A11265">
        <w:rPr>
          <w:rFonts w:cs="Arial"/>
        </w:rPr>
        <w:t>—</w:t>
      </w:r>
      <w:r w:rsidRPr="00A11265">
        <w:rPr>
          <w:rFonts w:cs="Arial"/>
        </w:rPr>
        <w:t xml:space="preserve"> </w:t>
      </w:r>
      <w:r w:rsidR="006C581F" w:rsidRPr="00A11265">
        <w:rPr>
          <w:rFonts w:cs="Arial"/>
        </w:rPr>
        <w:t xml:space="preserve">minimum </w:t>
      </w:r>
      <w:r w:rsidR="00EE6B77" w:rsidRPr="00A11265">
        <w:rPr>
          <w:rFonts w:cs="Arial"/>
        </w:rPr>
        <w:t>Regulating Reserve</w:t>
      </w:r>
      <w:r w:rsidR="006C581F" w:rsidRPr="00A11265">
        <w:rPr>
          <w:rFonts w:cs="Arial"/>
        </w:rPr>
        <w:t xml:space="preserve"> equivalent to the larger of 5</w:t>
      </w:r>
      <w:r w:rsidR="00320A0D" w:rsidRPr="00A11265">
        <w:rPr>
          <w:rFonts w:cs="Arial"/>
        </w:rPr>
        <w:t xml:space="preserve"> megawatts</w:t>
      </w:r>
      <w:r w:rsidR="006C581F" w:rsidRPr="00A11265">
        <w:rPr>
          <w:rFonts w:cs="Arial"/>
        </w:rPr>
        <w:t xml:space="preserve"> </w:t>
      </w:r>
      <w:r w:rsidR="00320A0D" w:rsidRPr="00A11265">
        <w:rPr>
          <w:rFonts w:cs="Arial"/>
        </w:rPr>
        <w:t>(</w:t>
      </w:r>
      <w:r w:rsidR="006C581F" w:rsidRPr="00A11265">
        <w:rPr>
          <w:rFonts w:cs="Arial"/>
        </w:rPr>
        <w:t>MW</w:t>
      </w:r>
      <w:r w:rsidR="00320A0D" w:rsidRPr="00A11265">
        <w:rPr>
          <w:rFonts w:cs="Arial"/>
        </w:rPr>
        <w:t>)</w:t>
      </w:r>
      <w:r w:rsidR="006C581F" w:rsidRPr="00A11265">
        <w:rPr>
          <w:rFonts w:cs="Arial"/>
        </w:rPr>
        <w:t xml:space="preserve"> or anticipated change</w:t>
      </w:r>
      <w:r w:rsidR="00320A0D" w:rsidRPr="00A11265">
        <w:rPr>
          <w:rFonts w:cs="Arial"/>
        </w:rPr>
        <w:t xml:space="preserve"> in system load</w:t>
      </w:r>
      <w:r w:rsidR="00034A8D" w:rsidRPr="00A11265">
        <w:rPr>
          <w:rFonts w:cs="Arial"/>
        </w:rPr>
        <w:t xml:space="preserve"> over 30 minutes</w:t>
      </w:r>
      <w:r w:rsidR="00320A0D" w:rsidRPr="00A11265">
        <w:rPr>
          <w:rFonts w:cs="Arial"/>
        </w:rPr>
        <w:t>;</w:t>
      </w:r>
      <w:r w:rsidR="00034A8D" w:rsidRPr="00A11265">
        <w:rPr>
          <w:rFonts w:cs="Arial"/>
        </w:rPr>
        <w:t xml:space="preserve"> </w:t>
      </w:r>
      <w:r w:rsidR="00EE6B77" w:rsidRPr="00A11265">
        <w:rPr>
          <w:rFonts w:cs="Arial"/>
        </w:rPr>
        <w:t xml:space="preserve">and </w:t>
      </w:r>
      <w:r w:rsidR="006C581F" w:rsidRPr="00A11265">
        <w:rPr>
          <w:rFonts w:cs="Arial"/>
        </w:rPr>
        <w:t xml:space="preserve">minimum </w:t>
      </w:r>
      <w:r w:rsidR="00EE6B77" w:rsidRPr="00A11265">
        <w:rPr>
          <w:rFonts w:cs="Arial"/>
        </w:rPr>
        <w:t>contingency S</w:t>
      </w:r>
      <w:r w:rsidRPr="00A11265">
        <w:rPr>
          <w:rFonts w:cs="Arial"/>
        </w:rPr>
        <w:t xml:space="preserve">pinning </w:t>
      </w:r>
      <w:r w:rsidR="00EE6B77" w:rsidRPr="00A11265">
        <w:rPr>
          <w:rFonts w:cs="Arial"/>
        </w:rPr>
        <w:t>R</w:t>
      </w:r>
      <w:r w:rsidRPr="00A11265">
        <w:rPr>
          <w:rFonts w:cs="Arial"/>
        </w:rPr>
        <w:t>eserve at all time</w:t>
      </w:r>
      <w:r w:rsidR="00FB5318" w:rsidRPr="00A11265">
        <w:rPr>
          <w:rFonts w:cs="Arial"/>
        </w:rPr>
        <w:t>s</w:t>
      </w:r>
      <w:r w:rsidR="006C581F" w:rsidRPr="00A11265">
        <w:rPr>
          <w:rFonts w:cs="Arial"/>
        </w:rPr>
        <w:t xml:space="preserve"> of 25 MW</w:t>
      </w:r>
      <w:r w:rsidRPr="00A11265">
        <w:rPr>
          <w:rFonts w:cs="Arial"/>
        </w:rPr>
        <w:t>, including a minimum of two Frame 6 machines</w:t>
      </w:r>
      <w:r w:rsidR="00320A0D" w:rsidRPr="00A11265">
        <w:rPr>
          <w:rFonts w:cs="Arial"/>
        </w:rPr>
        <w:t>.</w:t>
      </w:r>
    </w:p>
    <w:p w14:paraId="2D634660" w14:textId="7E097D51" w:rsidR="00CB560D" w:rsidRPr="00A11265" w:rsidRDefault="00CB560D" w:rsidP="001F613E">
      <w:pPr>
        <w:pStyle w:val="ListParagraph"/>
        <w:numPr>
          <w:ilvl w:val="0"/>
          <w:numId w:val="11"/>
        </w:numPr>
        <w:spacing w:before="200"/>
        <w:ind w:left="426"/>
        <w:rPr>
          <w:rFonts w:cs="Arial"/>
        </w:rPr>
      </w:pPr>
      <w:r w:rsidRPr="00A11265">
        <w:rPr>
          <w:rFonts w:cs="Arial"/>
        </w:rPr>
        <w:lastRenderedPageBreak/>
        <w:t xml:space="preserve">Alice Springs </w:t>
      </w:r>
      <w:r w:rsidR="00566292" w:rsidRPr="00A11265">
        <w:rPr>
          <w:rFonts w:cs="Arial"/>
        </w:rPr>
        <w:t>—</w:t>
      </w:r>
      <w:r w:rsidR="006C581F" w:rsidRPr="00A11265">
        <w:rPr>
          <w:rFonts w:cs="Arial"/>
        </w:rPr>
        <w:t xml:space="preserve"> minimum Regulating Reserve equivalent to the larger of </w:t>
      </w:r>
      <w:r w:rsidR="00034A8D" w:rsidRPr="00A11265">
        <w:rPr>
          <w:rFonts w:cs="Arial"/>
        </w:rPr>
        <w:t>2</w:t>
      </w:r>
      <w:r w:rsidR="006C581F" w:rsidRPr="00A11265">
        <w:rPr>
          <w:rFonts w:cs="Arial"/>
        </w:rPr>
        <w:t xml:space="preserve"> MW or anti</w:t>
      </w:r>
      <w:r w:rsidR="00320A0D" w:rsidRPr="00A11265">
        <w:rPr>
          <w:rFonts w:cs="Arial"/>
        </w:rPr>
        <w:t>cipated change in system load</w:t>
      </w:r>
      <w:r w:rsidR="00034A8D" w:rsidRPr="00A11265">
        <w:rPr>
          <w:rFonts w:cs="Arial"/>
        </w:rPr>
        <w:t xml:space="preserve"> over 10 minutes</w:t>
      </w:r>
      <w:r w:rsidR="00320A0D" w:rsidRPr="00A11265">
        <w:rPr>
          <w:rFonts w:cs="Arial"/>
        </w:rPr>
        <w:t>;</w:t>
      </w:r>
      <w:r w:rsidR="00034A8D" w:rsidRPr="00A11265">
        <w:rPr>
          <w:rFonts w:cs="Arial"/>
        </w:rPr>
        <w:t xml:space="preserve"> </w:t>
      </w:r>
      <w:r w:rsidR="006C581F" w:rsidRPr="00A11265">
        <w:rPr>
          <w:rFonts w:cs="Arial"/>
        </w:rPr>
        <w:t xml:space="preserve">and minimum </w:t>
      </w:r>
      <w:r w:rsidR="00034A8D" w:rsidRPr="00A11265">
        <w:rPr>
          <w:rFonts w:cs="Arial"/>
        </w:rPr>
        <w:t>contingency</w:t>
      </w:r>
      <w:r w:rsidR="006C581F" w:rsidRPr="00A11265">
        <w:rPr>
          <w:rFonts w:cs="Arial"/>
        </w:rPr>
        <w:t xml:space="preserve"> </w:t>
      </w:r>
      <w:r w:rsidR="00EE6B77" w:rsidRPr="00A11265">
        <w:rPr>
          <w:rFonts w:cs="Arial"/>
        </w:rPr>
        <w:t>Spinning Reserve</w:t>
      </w:r>
      <w:r w:rsidRPr="00A11265">
        <w:rPr>
          <w:rFonts w:cs="Arial"/>
        </w:rPr>
        <w:t xml:space="preserve"> </w:t>
      </w:r>
      <w:r w:rsidR="00034A8D" w:rsidRPr="00A11265">
        <w:rPr>
          <w:rFonts w:cs="Arial"/>
        </w:rPr>
        <w:t>of the larger of either 8</w:t>
      </w:r>
      <w:r w:rsidR="00320A0D" w:rsidRPr="00A11265">
        <w:rPr>
          <w:rFonts w:cs="Arial"/>
        </w:rPr>
        <w:t> </w:t>
      </w:r>
      <w:r w:rsidR="00034A8D" w:rsidRPr="00A11265">
        <w:rPr>
          <w:rFonts w:cs="Arial"/>
        </w:rPr>
        <w:t xml:space="preserve">MW </w:t>
      </w:r>
      <w:r w:rsidRPr="00A11265">
        <w:rPr>
          <w:rFonts w:cs="Arial"/>
        </w:rPr>
        <w:t>during the day</w:t>
      </w:r>
      <w:r w:rsidR="00034A8D" w:rsidRPr="00A11265">
        <w:rPr>
          <w:rFonts w:cs="Arial"/>
        </w:rPr>
        <w:t xml:space="preserve"> or</w:t>
      </w:r>
      <w:r w:rsidRPr="00A11265">
        <w:rPr>
          <w:rFonts w:cs="Arial"/>
        </w:rPr>
        <w:t xml:space="preserve"> 5MW at night</w:t>
      </w:r>
      <w:r w:rsidR="00901D6D">
        <w:rPr>
          <w:rFonts w:cs="Arial"/>
        </w:rPr>
        <w:t>,</w:t>
      </w:r>
      <w:r w:rsidRPr="00A11265">
        <w:rPr>
          <w:rFonts w:cs="Arial"/>
        </w:rPr>
        <w:t xml:space="preserve"> </w:t>
      </w:r>
      <w:r w:rsidR="00034A8D" w:rsidRPr="00A11265">
        <w:rPr>
          <w:rFonts w:cs="Arial"/>
        </w:rPr>
        <w:t>or</w:t>
      </w:r>
      <w:r w:rsidRPr="00A11265">
        <w:rPr>
          <w:rFonts w:cs="Arial"/>
        </w:rPr>
        <w:t xml:space="preserve"> the largest machine’s output in</w:t>
      </w:r>
      <w:r w:rsidR="00FB5318" w:rsidRPr="00A11265">
        <w:rPr>
          <w:rFonts w:cs="Arial"/>
        </w:rPr>
        <w:t> </w:t>
      </w:r>
      <w:r w:rsidRPr="00A11265">
        <w:rPr>
          <w:rFonts w:cs="Arial"/>
        </w:rPr>
        <w:t>MW</w:t>
      </w:r>
      <w:r w:rsidR="00320A0D" w:rsidRPr="00A11265">
        <w:rPr>
          <w:rFonts w:cs="Arial"/>
        </w:rPr>
        <w:t>.</w:t>
      </w:r>
    </w:p>
    <w:p w14:paraId="548F9F2D" w14:textId="38416654" w:rsidR="00CB560D" w:rsidRPr="00A11265" w:rsidRDefault="00CB560D" w:rsidP="001F613E">
      <w:pPr>
        <w:pStyle w:val="ListParagraph"/>
        <w:numPr>
          <w:ilvl w:val="0"/>
          <w:numId w:val="11"/>
        </w:numPr>
        <w:spacing w:before="200"/>
        <w:ind w:left="426"/>
        <w:rPr>
          <w:rFonts w:cs="Arial"/>
        </w:rPr>
      </w:pPr>
      <w:r w:rsidRPr="00A11265">
        <w:rPr>
          <w:rFonts w:cs="Arial"/>
        </w:rPr>
        <w:t xml:space="preserve">Tennant Creek </w:t>
      </w:r>
      <w:r w:rsidR="00566292" w:rsidRPr="00A11265">
        <w:rPr>
          <w:rFonts w:cs="Arial"/>
        </w:rPr>
        <w:t>—</w:t>
      </w:r>
      <w:r w:rsidR="00320A0D" w:rsidRPr="00A11265">
        <w:rPr>
          <w:rFonts w:cs="Arial"/>
        </w:rPr>
        <w:t xml:space="preserve"> </w:t>
      </w:r>
      <w:r w:rsidR="00034A8D" w:rsidRPr="00A11265">
        <w:rPr>
          <w:rFonts w:cs="Arial"/>
        </w:rPr>
        <w:t xml:space="preserve">minimum </w:t>
      </w:r>
      <w:r w:rsidR="00EE6B77" w:rsidRPr="00A11265">
        <w:rPr>
          <w:rFonts w:cs="Arial"/>
        </w:rPr>
        <w:t>Regulating Reserve</w:t>
      </w:r>
      <w:r w:rsidR="00034A8D" w:rsidRPr="00A11265">
        <w:rPr>
          <w:rFonts w:cs="Arial"/>
        </w:rPr>
        <w:t xml:space="preserve"> equivalent to the larger of 0.5 MW or anticipated change in </w:t>
      </w:r>
      <w:r w:rsidR="00320A0D" w:rsidRPr="00A11265">
        <w:rPr>
          <w:rFonts w:cs="Arial"/>
        </w:rPr>
        <w:t>system load</w:t>
      </w:r>
      <w:r w:rsidR="00034A8D" w:rsidRPr="00A11265">
        <w:rPr>
          <w:rFonts w:cs="Arial"/>
        </w:rPr>
        <w:t xml:space="preserve"> over 10 minutes</w:t>
      </w:r>
      <w:r w:rsidR="00320A0D" w:rsidRPr="00A11265">
        <w:rPr>
          <w:rFonts w:cs="Arial"/>
        </w:rPr>
        <w:t>;</w:t>
      </w:r>
      <w:r w:rsidR="00034A8D" w:rsidRPr="00A11265">
        <w:rPr>
          <w:rFonts w:cs="Arial"/>
        </w:rPr>
        <w:t xml:space="preserve"> </w:t>
      </w:r>
      <w:r w:rsidR="00EE6B77" w:rsidRPr="00A11265">
        <w:rPr>
          <w:rFonts w:cs="Arial"/>
        </w:rPr>
        <w:t>and</w:t>
      </w:r>
      <w:r w:rsidR="00034A8D" w:rsidRPr="00A11265">
        <w:rPr>
          <w:rFonts w:cs="Arial"/>
        </w:rPr>
        <w:t xml:space="preserve"> minimum</w:t>
      </w:r>
      <w:r w:rsidR="00EE6B77" w:rsidRPr="00A11265">
        <w:rPr>
          <w:rFonts w:cs="Arial"/>
        </w:rPr>
        <w:t xml:space="preserve"> contingency Spinning Reserve</w:t>
      </w:r>
      <w:r w:rsidR="00034A8D" w:rsidRPr="00A11265">
        <w:rPr>
          <w:rFonts w:cs="Arial"/>
        </w:rPr>
        <w:t xml:space="preserve"> of</w:t>
      </w:r>
      <w:r w:rsidRPr="00A11265">
        <w:rPr>
          <w:rFonts w:cs="Arial"/>
        </w:rPr>
        <w:t xml:space="preserve"> </w:t>
      </w:r>
      <w:r w:rsidR="00034A8D" w:rsidRPr="00A11265">
        <w:rPr>
          <w:rFonts w:cs="Arial"/>
        </w:rPr>
        <w:t xml:space="preserve">0.8 MW </w:t>
      </w:r>
      <w:r w:rsidRPr="00A11265">
        <w:rPr>
          <w:rFonts w:cs="Arial"/>
        </w:rPr>
        <w:t>at all times.</w:t>
      </w:r>
    </w:p>
    <w:p w14:paraId="24DA5412" w14:textId="2919EE23" w:rsidR="00CB560D" w:rsidRPr="00A11265" w:rsidRDefault="00CB560D" w:rsidP="00CB560D">
      <w:pPr>
        <w:rPr>
          <w:rFonts w:asciiTheme="minorHAnsi" w:hAnsiTheme="minorHAnsi" w:cs="Arial"/>
        </w:rPr>
      </w:pPr>
      <w:r w:rsidRPr="00A11265">
        <w:rPr>
          <w:rFonts w:asciiTheme="minorHAnsi" w:hAnsiTheme="minorHAnsi" w:cs="Arial"/>
        </w:rPr>
        <w:t xml:space="preserve">In practice, the System Controller maintains higher </w:t>
      </w:r>
      <w:r w:rsidR="006C581F" w:rsidRPr="00A11265">
        <w:rPr>
          <w:rFonts w:asciiTheme="minorHAnsi" w:hAnsiTheme="minorHAnsi" w:cs="Arial"/>
        </w:rPr>
        <w:t>combined levels of Regulating Reserve</w:t>
      </w:r>
      <w:r w:rsidR="001179DA" w:rsidRPr="00A11265">
        <w:rPr>
          <w:rFonts w:asciiTheme="minorHAnsi" w:hAnsiTheme="minorHAnsi" w:cs="Arial"/>
        </w:rPr>
        <w:t xml:space="preserve"> </w:t>
      </w:r>
      <w:r w:rsidR="006C581F" w:rsidRPr="00A11265">
        <w:rPr>
          <w:rFonts w:asciiTheme="minorHAnsi" w:hAnsiTheme="minorHAnsi" w:cs="Arial"/>
        </w:rPr>
        <w:t xml:space="preserve">and contingency </w:t>
      </w:r>
      <w:r w:rsidRPr="00A11265">
        <w:rPr>
          <w:rFonts w:asciiTheme="minorHAnsi" w:hAnsiTheme="minorHAnsi" w:cs="Arial"/>
        </w:rPr>
        <w:t xml:space="preserve">Spinning Reserve </w:t>
      </w:r>
      <w:r w:rsidR="001179DA" w:rsidRPr="00A11265">
        <w:rPr>
          <w:rFonts w:asciiTheme="minorHAnsi" w:hAnsiTheme="minorHAnsi" w:cs="Arial"/>
        </w:rPr>
        <w:t xml:space="preserve">in the Darwin-Katherine system </w:t>
      </w:r>
      <w:r w:rsidRPr="00A11265">
        <w:rPr>
          <w:rFonts w:asciiTheme="minorHAnsi" w:hAnsiTheme="minorHAnsi" w:cs="Arial"/>
        </w:rPr>
        <w:t xml:space="preserve">than specified </w:t>
      </w:r>
      <w:r w:rsidR="006C581F" w:rsidRPr="00A11265">
        <w:rPr>
          <w:rFonts w:asciiTheme="minorHAnsi" w:hAnsiTheme="minorHAnsi" w:cs="Arial"/>
        </w:rPr>
        <w:t xml:space="preserve">due to the size of the generators in the system and their minimum safe loadings (and </w:t>
      </w:r>
      <w:r w:rsidR="001179DA" w:rsidRPr="00A11265">
        <w:rPr>
          <w:rFonts w:asciiTheme="minorHAnsi" w:hAnsiTheme="minorHAnsi" w:cs="Arial"/>
        </w:rPr>
        <w:t>other constraints on operation). The</w:t>
      </w:r>
      <w:r w:rsidR="006C581F" w:rsidRPr="00A11265">
        <w:rPr>
          <w:rFonts w:asciiTheme="minorHAnsi" w:hAnsiTheme="minorHAnsi" w:cs="Arial"/>
        </w:rPr>
        <w:t xml:space="preserve"> system is actually generally operated with </w:t>
      </w:r>
      <w:r w:rsidR="00901D6D">
        <w:rPr>
          <w:rFonts w:asciiTheme="minorHAnsi" w:hAnsiTheme="minorHAnsi" w:cs="Arial"/>
        </w:rPr>
        <w:t>an average</w:t>
      </w:r>
      <w:r w:rsidR="006C581F" w:rsidRPr="00A11265">
        <w:rPr>
          <w:rFonts w:asciiTheme="minorHAnsi" w:hAnsiTheme="minorHAnsi" w:cs="Arial"/>
        </w:rPr>
        <w:t xml:space="preserve"> </w:t>
      </w:r>
      <w:r w:rsidR="00901D6D">
        <w:rPr>
          <w:rFonts w:asciiTheme="minorHAnsi" w:hAnsiTheme="minorHAnsi" w:cs="Arial"/>
        </w:rPr>
        <w:t xml:space="preserve">level of </w:t>
      </w:r>
      <w:r w:rsidR="006C581F" w:rsidRPr="00A11265">
        <w:rPr>
          <w:rFonts w:asciiTheme="minorHAnsi" w:hAnsiTheme="minorHAnsi" w:cs="Arial"/>
        </w:rPr>
        <w:t xml:space="preserve">reserve capacity </w:t>
      </w:r>
      <w:r w:rsidR="001179DA" w:rsidRPr="00A11265">
        <w:rPr>
          <w:rFonts w:asciiTheme="minorHAnsi" w:hAnsiTheme="minorHAnsi" w:cs="Arial"/>
        </w:rPr>
        <w:t xml:space="preserve">of </w:t>
      </w:r>
      <w:r w:rsidR="000458F9">
        <w:rPr>
          <w:rFonts w:asciiTheme="minorHAnsi" w:hAnsiTheme="minorHAnsi" w:cs="Arial"/>
        </w:rPr>
        <w:t>about</w:t>
      </w:r>
      <w:r w:rsidR="001179DA" w:rsidRPr="00A11265">
        <w:rPr>
          <w:rFonts w:asciiTheme="minorHAnsi" w:hAnsiTheme="minorHAnsi" w:cs="Arial"/>
        </w:rPr>
        <w:t xml:space="preserve"> 40 </w:t>
      </w:r>
      <w:r w:rsidR="006C581F" w:rsidRPr="00A11265">
        <w:rPr>
          <w:rFonts w:asciiTheme="minorHAnsi" w:hAnsiTheme="minorHAnsi" w:cs="Arial"/>
        </w:rPr>
        <w:t>MW.</w:t>
      </w:r>
    </w:p>
    <w:p w14:paraId="66D7FE65" w14:textId="6685B549" w:rsidR="00CB560D" w:rsidRPr="00A11265" w:rsidRDefault="00CB560D" w:rsidP="00CB560D">
      <w:pPr>
        <w:rPr>
          <w:rFonts w:asciiTheme="minorHAnsi" w:hAnsiTheme="minorHAnsi" w:cs="Arial"/>
        </w:rPr>
      </w:pPr>
      <w:r w:rsidRPr="00A11265">
        <w:rPr>
          <w:rFonts w:asciiTheme="minorHAnsi" w:hAnsiTheme="minorHAnsi" w:cs="Arial"/>
        </w:rPr>
        <w:t xml:space="preserve">There are no service standards for </w:t>
      </w:r>
      <w:r w:rsidR="00320A0D" w:rsidRPr="00A11265">
        <w:rPr>
          <w:rFonts w:asciiTheme="minorHAnsi" w:hAnsiTheme="minorHAnsi" w:cs="Arial"/>
        </w:rPr>
        <w:t>V</w:t>
      </w:r>
      <w:r w:rsidRPr="00A11265">
        <w:rPr>
          <w:rFonts w:asciiTheme="minorHAnsi" w:hAnsiTheme="minorHAnsi" w:cs="Arial"/>
        </w:rPr>
        <w:t xml:space="preserve">oltage </w:t>
      </w:r>
      <w:r w:rsidR="00320A0D" w:rsidRPr="00A11265">
        <w:rPr>
          <w:rFonts w:asciiTheme="minorHAnsi" w:hAnsiTheme="minorHAnsi" w:cs="Arial"/>
        </w:rPr>
        <w:t>M</w:t>
      </w:r>
      <w:r w:rsidRPr="00A11265">
        <w:rPr>
          <w:rFonts w:asciiTheme="minorHAnsi" w:hAnsiTheme="minorHAnsi" w:cs="Arial"/>
        </w:rPr>
        <w:t>anagement.</w:t>
      </w:r>
    </w:p>
    <w:p w14:paraId="6C72BABD" w14:textId="2CC6C4DE" w:rsidR="009504D8" w:rsidRPr="00A11265" w:rsidRDefault="00CB560D" w:rsidP="00CB560D">
      <w:pPr>
        <w:rPr>
          <w:rFonts w:asciiTheme="minorHAnsi" w:hAnsiTheme="minorHAnsi" w:cs="Arial"/>
        </w:rPr>
      </w:pPr>
      <w:r w:rsidRPr="00A11265">
        <w:rPr>
          <w:rFonts w:asciiTheme="minorHAnsi" w:hAnsiTheme="minorHAnsi" w:cs="Arial"/>
        </w:rPr>
        <w:t>Notwithstanding reference to it in the SCTC</w:t>
      </w:r>
      <w:r w:rsidR="00FB5318" w:rsidRPr="00A11265">
        <w:rPr>
          <w:rStyle w:val="FootnoteReference"/>
          <w:rFonts w:asciiTheme="minorHAnsi" w:hAnsiTheme="minorHAnsi" w:cs="Arial"/>
        </w:rPr>
        <w:footnoteReference w:id="23"/>
      </w:r>
      <w:r w:rsidRPr="00A11265">
        <w:rPr>
          <w:rFonts w:asciiTheme="minorHAnsi" w:hAnsiTheme="minorHAnsi" w:cs="Arial"/>
        </w:rPr>
        <w:t xml:space="preserve">, a system restart standard has not been developed by the System Controller. </w:t>
      </w:r>
    </w:p>
    <w:p w14:paraId="54ECC046" w14:textId="3A1D8095" w:rsidR="00CB560D" w:rsidRPr="00A11265" w:rsidRDefault="00660DDB" w:rsidP="00D9724C">
      <w:pPr>
        <w:pStyle w:val="Heading3"/>
        <w:rPr>
          <w:szCs w:val="24"/>
          <w:lang w:eastAsia="en-AU"/>
        </w:rPr>
      </w:pPr>
      <w:r w:rsidRPr="00A11265">
        <w:rPr>
          <w:szCs w:val="24"/>
          <w:lang w:eastAsia="en-AU"/>
        </w:rPr>
        <w:t>C</w:t>
      </w:r>
      <w:r w:rsidR="00CB560D" w:rsidRPr="00A11265">
        <w:rPr>
          <w:szCs w:val="24"/>
          <w:lang w:eastAsia="en-AU"/>
        </w:rPr>
        <w:t>ase for change</w:t>
      </w:r>
    </w:p>
    <w:p w14:paraId="22AEBE7C" w14:textId="399CC0FE" w:rsidR="00A17DDB" w:rsidRDefault="00A17DDB" w:rsidP="00A17DDB">
      <w:pPr>
        <w:rPr>
          <w:rFonts w:asciiTheme="minorHAnsi" w:hAnsiTheme="minorHAnsi" w:cs="Arial"/>
        </w:rPr>
      </w:pPr>
      <w:r>
        <w:rPr>
          <w:rFonts w:asciiTheme="minorHAnsi" w:hAnsiTheme="minorHAnsi" w:cs="Arial"/>
        </w:rPr>
        <w:t>There is an inherent tension between the need to procure sufficient essential system services for system security and the cost of their procurement.</w:t>
      </w:r>
    </w:p>
    <w:p w14:paraId="199924D5" w14:textId="5F85E27B" w:rsidR="00CB560D" w:rsidRPr="00A11265" w:rsidRDefault="00CB560D" w:rsidP="00CB560D">
      <w:pPr>
        <w:rPr>
          <w:rFonts w:asciiTheme="minorHAnsi" w:hAnsiTheme="minorHAnsi" w:cs="Arial"/>
        </w:rPr>
      </w:pPr>
      <w:r w:rsidRPr="00A11265">
        <w:rPr>
          <w:rFonts w:asciiTheme="minorHAnsi" w:hAnsiTheme="minorHAnsi" w:cs="Arial"/>
        </w:rPr>
        <w:t>Under</w:t>
      </w:r>
      <w:r w:rsidR="00761498" w:rsidRPr="00A11265">
        <w:rPr>
          <w:rFonts w:asciiTheme="minorHAnsi" w:hAnsiTheme="minorHAnsi" w:cs="Arial"/>
        </w:rPr>
        <w:t xml:space="preserve"> </w:t>
      </w:r>
      <w:r w:rsidRPr="00A11265">
        <w:rPr>
          <w:rFonts w:asciiTheme="minorHAnsi" w:hAnsiTheme="minorHAnsi" w:cs="Arial"/>
        </w:rPr>
        <w:t>future arrangement</w:t>
      </w:r>
      <w:r w:rsidR="00186F17" w:rsidRPr="00A11265">
        <w:rPr>
          <w:rFonts w:asciiTheme="minorHAnsi" w:hAnsiTheme="minorHAnsi" w:cs="Arial"/>
        </w:rPr>
        <w:t>s</w:t>
      </w:r>
      <w:r w:rsidRPr="00A11265">
        <w:rPr>
          <w:rFonts w:asciiTheme="minorHAnsi" w:hAnsiTheme="minorHAnsi" w:cs="Arial"/>
        </w:rPr>
        <w:t xml:space="preserve">, there will continue to be a requirement for the System Controller to determine and dispatch </w:t>
      </w:r>
      <w:r w:rsidR="00186F17" w:rsidRPr="00A11265">
        <w:rPr>
          <w:rFonts w:asciiTheme="minorHAnsi" w:hAnsiTheme="minorHAnsi" w:cs="Arial"/>
        </w:rPr>
        <w:t>essential system services</w:t>
      </w:r>
      <w:r w:rsidRPr="00A11265">
        <w:rPr>
          <w:rFonts w:asciiTheme="minorHAnsi" w:hAnsiTheme="minorHAnsi" w:cs="Arial"/>
        </w:rPr>
        <w:t xml:space="preserve"> to meet </w:t>
      </w:r>
      <w:r w:rsidR="00E90A99" w:rsidRPr="00A11265">
        <w:rPr>
          <w:rFonts w:asciiTheme="minorHAnsi" w:hAnsiTheme="minorHAnsi" w:cs="Arial"/>
        </w:rPr>
        <w:t>service requirements.</w:t>
      </w:r>
    </w:p>
    <w:p w14:paraId="2F2C4CA6" w14:textId="02A15F00" w:rsidR="00CB560D" w:rsidRPr="00A11265" w:rsidRDefault="00761498" w:rsidP="00CB560D">
      <w:pPr>
        <w:rPr>
          <w:rFonts w:asciiTheme="minorHAnsi" w:hAnsiTheme="minorHAnsi" w:cs="Arial"/>
        </w:rPr>
      </w:pPr>
      <w:r w:rsidRPr="00A11265">
        <w:rPr>
          <w:rFonts w:asciiTheme="minorHAnsi" w:hAnsiTheme="minorHAnsi" w:cs="Arial"/>
        </w:rPr>
        <w:t xml:space="preserve">Service requirements are a key driver of the costs of </w:t>
      </w:r>
      <w:r w:rsidR="008D7141" w:rsidRPr="00A11265">
        <w:rPr>
          <w:rFonts w:asciiTheme="minorHAnsi" w:hAnsiTheme="minorHAnsi" w:cs="Arial"/>
        </w:rPr>
        <w:t>essential system services</w:t>
      </w:r>
      <w:r w:rsidR="00460F8F" w:rsidRPr="00A11265">
        <w:rPr>
          <w:rFonts w:asciiTheme="minorHAnsi" w:hAnsiTheme="minorHAnsi" w:cs="Arial"/>
        </w:rPr>
        <w:t xml:space="preserve"> provision</w:t>
      </w:r>
      <w:r w:rsidRPr="00A11265">
        <w:rPr>
          <w:rFonts w:asciiTheme="minorHAnsi" w:hAnsiTheme="minorHAnsi" w:cs="Arial"/>
        </w:rPr>
        <w:t xml:space="preserve"> and have been a contentious issue for system participants.</w:t>
      </w:r>
      <w:r w:rsidR="00E90A99" w:rsidRPr="00A11265">
        <w:rPr>
          <w:rFonts w:asciiTheme="minorHAnsi" w:hAnsiTheme="minorHAnsi" w:cs="Arial"/>
        </w:rPr>
        <w:t xml:space="preserve"> </w:t>
      </w:r>
      <w:r w:rsidR="00CB560D" w:rsidRPr="00A11265">
        <w:rPr>
          <w:rFonts w:asciiTheme="minorHAnsi" w:hAnsiTheme="minorHAnsi" w:cs="Arial"/>
        </w:rPr>
        <w:t>System participants and the System Controller may have different incentives regarding the</w:t>
      </w:r>
      <w:r w:rsidR="008D7141" w:rsidRPr="00A11265">
        <w:rPr>
          <w:rFonts w:asciiTheme="minorHAnsi" w:hAnsiTheme="minorHAnsi" w:cs="Arial"/>
        </w:rPr>
        <w:t xml:space="preserve"> procurement and</w:t>
      </w:r>
      <w:r w:rsidR="00CB560D" w:rsidRPr="00A11265">
        <w:rPr>
          <w:rFonts w:asciiTheme="minorHAnsi" w:hAnsiTheme="minorHAnsi" w:cs="Arial"/>
        </w:rPr>
        <w:t xml:space="preserve"> dispatch of </w:t>
      </w:r>
      <w:r w:rsidR="008D7141" w:rsidRPr="00A11265">
        <w:rPr>
          <w:rFonts w:asciiTheme="minorHAnsi" w:hAnsiTheme="minorHAnsi" w:cs="Arial"/>
        </w:rPr>
        <w:t>essential system services</w:t>
      </w:r>
      <w:r w:rsidR="00CB560D" w:rsidRPr="00A11265">
        <w:rPr>
          <w:rFonts w:asciiTheme="minorHAnsi" w:hAnsiTheme="minorHAnsi" w:cs="Arial"/>
        </w:rPr>
        <w:t xml:space="preserve">. The System Controller, whose role is to maintain system security, </w:t>
      </w:r>
      <w:r w:rsidR="00E90A99" w:rsidRPr="00A11265">
        <w:rPr>
          <w:rFonts w:asciiTheme="minorHAnsi" w:hAnsiTheme="minorHAnsi" w:cs="Arial"/>
        </w:rPr>
        <w:t>may</w:t>
      </w:r>
      <w:r w:rsidR="00CB560D" w:rsidRPr="00A11265">
        <w:rPr>
          <w:rFonts w:asciiTheme="minorHAnsi" w:hAnsiTheme="minorHAnsi" w:cs="Arial"/>
        </w:rPr>
        <w:t xml:space="preserve"> hold </w:t>
      </w:r>
      <w:r w:rsidR="006D4058" w:rsidRPr="00A11265">
        <w:rPr>
          <w:rFonts w:asciiTheme="minorHAnsi" w:hAnsiTheme="minorHAnsi" w:cs="Arial"/>
        </w:rPr>
        <w:t xml:space="preserve">a </w:t>
      </w:r>
      <w:r w:rsidR="00CB560D" w:rsidRPr="00A11265">
        <w:rPr>
          <w:rFonts w:asciiTheme="minorHAnsi" w:hAnsiTheme="minorHAnsi" w:cs="Arial"/>
        </w:rPr>
        <w:t>different view on appropriate service requirements, than system participants w</w:t>
      </w:r>
      <w:r w:rsidR="008D7141" w:rsidRPr="00A11265">
        <w:rPr>
          <w:rFonts w:asciiTheme="minorHAnsi" w:hAnsiTheme="minorHAnsi" w:cs="Arial"/>
        </w:rPr>
        <w:t>ho</w:t>
      </w:r>
      <w:r w:rsidR="00CB560D" w:rsidRPr="00A11265">
        <w:rPr>
          <w:rFonts w:asciiTheme="minorHAnsi" w:hAnsiTheme="minorHAnsi" w:cs="Arial"/>
        </w:rPr>
        <w:t xml:space="preserve"> supply </w:t>
      </w:r>
      <w:r w:rsidR="008D7141" w:rsidRPr="00A11265">
        <w:rPr>
          <w:rFonts w:asciiTheme="minorHAnsi" w:hAnsiTheme="minorHAnsi" w:cs="Arial"/>
        </w:rPr>
        <w:t>essential system services</w:t>
      </w:r>
      <w:r w:rsidR="00CB560D" w:rsidRPr="00A11265">
        <w:rPr>
          <w:rFonts w:asciiTheme="minorHAnsi" w:hAnsiTheme="minorHAnsi" w:cs="Arial"/>
        </w:rPr>
        <w:t xml:space="preserve"> or from whom costs are recovered.</w:t>
      </w:r>
    </w:p>
    <w:p w14:paraId="2BC7E55A" w14:textId="117007BA" w:rsidR="00566292" w:rsidRPr="00A11265" w:rsidRDefault="00761498" w:rsidP="00CB560D">
      <w:pPr>
        <w:rPr>
          <w:rFonts w:asciiTheme="minorHAnsi" w:hAnsiTheme="minorHAnsi" w:cs="Arial"/>
        </w:rPr>
      </w:pPr>
      <w:r w:rsidRPr="00A11265">
        <w:rPr>
          <w:rFonts w:asciiTheme="minorHAnsi" w:hAnsiTheme="minorHAnsi" w:cs="Arial"/>
        </w:rPr>
        <w:t xml:space="preserve">Transparency of the decisions of the System Controller </w:t>
      </w:r>
      <w:r w:rsidR="00460F8F" w:rsidRPr="00A11265">
        <w:rPr>
          <w:rFonts w:asciiTheme="minorHAnsi" w:hAnsiTheme="minorHAnsi" w:cs="Arial"/>
        </w:rPr>
        <w:t>will be</w:t>
      </w:r>
      <w:r w:rsidRPr="00A11265">
        <w:rPr>
          <w:rFonts w:asciiTheme="minorHAnsi" w:hAnsiTheme="minorHAnsi" w:cs="Arial"/>
        </w:rPr>
        <w:t xml:space="preserve"> critical to providing system participants with confidence in the </w:t>
      </w:r>
      <w:r w:rsidR="008D7141" w:rsidRPr="00A11265">
        <w:rPr>
          <w:rFonts w:asciiTheme="minorHAnsi" w:hAnsiTheme="minorHAnsi" w:cs="Arial"/>
        </w:rPr>
        <w:t>essential system services</w:t>
      </w:r>
      <w:r w:rsidRPr="00A11265">
        <w:rPr>
          <w:rFonts w:asciiTheme="minorHAnsi" w:hAnsiTheme="minorHAnsi" w:cs="Arial"/>
        </w:rPr>
        <w:t xml:space="preserve"> framework</w:t>
      </w:r>
      <w:r w:rsidR="00FC302E" w:rsidRPr="00A11265">
        <w:rPr>
          <w:rFonts w:asciiTheme="minorHAnsi" w:hAnsiTheme="minorHAnsi" w:cs="Arial"/>
        </w:rPr>
        <w:t xml:space="preserve">. </w:t>
      </w:r>
      <w:r w:rsidR="00647669" w:rsidRPr="00A11265">
        <w:rPr>
          <w:rFonts w:asciiTheme="minorHAnsi" w:hAnsiTheme="minorHAnsi" w:cs="Arial"/>
        </w:rPr>
        <w:t xml:space="preserve">Under the </w:t>
      </w:r>
      <w:r w:rsidR="00E90A99" w:rsidRPr="00A11265">
        <w:rPr>
          <w:rFonts w:asciiTheme="minorHAnsi" w:hAnsiTheme="minorHAnsi" w:cs="Arial"/>
        </w:rPr>
        <w:t>NT</w:t>
      </w:r>
      <w:r w:rsidR="00647669" w:rsidRPr="00A11265">
        <w:rPr>
          <w:rFonts w:asciiTheme="minorHAnsi" w:hAnsiTheme="minorHAnsi" w:cs="Arial"/>
        </w:rPr>
        <w:t xml:space="preserve">’s current </w:t>
      </w:r>
      <w:r w:rsidR="00E90A99" w:rsidRPr="00A11265">
        <w:rPr>
          <w:rFonts w:asciiTheme="minorHAnsi" w:hAnsiTheme="minorHAnsi" w:cs="Arial"/>
        </w:rPr>
        <w:t>essential system services</w:t>
      </w:r>
      <w:r w:rsidR="00647669" w:rsidRPr="00A11265">
        <w:rPr>
          <w:rFonts w:asciiTheme="minorHAnsi" w:hAnsiTheme="minorHAnsi" w:cs="Arial"/>
        </w:rPr>
        <w:t xml:space="preserve"> arrangements there is not the same level of transparency and oversight of </w:t>
      </w:r>
      <w:r w:rsidR="008D7141" w:rsidRPr="00A11265">
        <w:rPr>
          <w:rFonts w:asciiTheme="minorHAnsi" w:hAnsiTheme="minorHAnsi" w:cs="Arial"/>
        </w:rPr>
        <w:t>services</w:t>
      </w:r>
      <w:r w:rsidR="00647669" w:rsidRPr="00A11265">
        <w:rPr>
          <w:rFonts w:asciiTheme="minorHAnsi" w:hAnsiTheme="minorHAnsi" w:cs="Arial"/>
        </w:rPr>
        <w:t xml:space="preserve"> requirements and costs as exist in other Australian electricity markets, potentially contributing to scope for contention regarding the</w:t>
      </w:r>
      <w:r w:rsidR="008D7141" w:rsidRPr="00A11265">
        <w:rPr>
          <w:rFonts w:asciiTheme="minorHAnsi" w:hAnsiTheme="minorHAnsi" w:cs="Arial"/>
        </w:rPr>
        <w:t>ir procurement and</w:t>
      </w:r>
      <w:r w:rsidR="00647669" w:rsidRPr="00A11265">
        <w:rPr>
          <w:rFonts w:asciiTheme="minorHAnsi" w:hAnsiTheme="minorHAnsi" w:cs="Arial"/>
        </w:rPr>
        <w:t xml:space="preserve"> dispatch in the</w:t>
      </w:r>
      <w:r w:rsidR="008D7141" w:rsidRPr="00A11265">
        <w:rPr>
          <w:rFonts w:asciiTheme="minorHAnsi" w:hAnsiTheme="minorHAnsi" w:cs="Arial"/>
        </w:rPr>
        <w:t xml:space="preserve"> NT regulated systems</w:t>
      </w:r>
      <w:r w:rsidR="00647669" w:rsidRPr="00A11265">
        <w:rPr>
          <w:rFonts w:asciiTheme="minorHAnsi" w:hAnsiTheme="minorHAnsi" w:cs="Arial"/>
        </w:rPr>
        <w:t>.</w:t>
      </w:r>
    </w:p>
    <w:p w14:paraId="72FCEC46" w14:textId="1C65ED79" w:rsidR="00566292" w:rsidRPr="00A11265" w:rsidRDefault="00566292" w:rsidP="00D9724C">
      <w:pPr>
        <w:pStyle w:val="Heading2"/>
        <w:keepNext/>
        <w:rPr>
          <w:lang w:eastAsia="en-AU"/>
        </w:rPr>
      </w:pPr>
      <w:bookmarkStart w:id="158" w:name="_Toc61956195"/>
      <w:r w:rsidRPr="00A11265">
        <w:rPr>
          <w:lang w:eastAsia="en-AU"/>
        </w:rPr>
        <w:t>Submissions</w:t>
      </w:r>
      <w:bookmarkEnd w:id="158"/>
    </w:p>
    <w:p w14:paraId="313A7A3D" w14:textId="21B59410" w:rsidR="00E15B7D" w:rsidRPr="00A11265" w:rsidRDefault="00E15B7D" w:rsidP="00CB560D">
      <w:pPr>
        <w:rPr>
          <w:rFonts w:asciiTheme="minorHAnsi" w:hAnsiTheme="minorHAnsi" w:cs="Arial"/>
        </w:rPr>
      </w:pPr>
      <w:r w:rsidRPr="00A11265">
        <w:rPr>
          <w:rFonts w:asciiTheme="minorHAnsi" w:hAnsiTheme="minorHAnsi" w:cs="Arial"/>
        </w:rPr>
        <w:t>The Issues Paper sought stakeholders</w:t>
      </w:r>
      <w:r w:rsidR="00901D6D">
        <w:rPr>
          <w:rFonts w:asciiTheme="minorHAnsi" w:hAnsiTheme="minorHAnsi" w:cs="Arial"/>
        </w:rPr>
        <w:t>’</w:t>
      </w:r>
      <w:r w:rsidRPr="00A11265">
        <w:rPr>
          <w:rFonts w:asciiTheme="minorHAnsi" w:hAnsiTheme="minorHAnsi" w:cs="Arial"/>
        </w:rPr>
        <w:t xml:space="preserve"> views on whether the essential system services </w:t>
      </w:r>
      <w:r w:rsidR="00462D03" w:rsidRPr="00A11265">
        <w:rPr>
          <w:rFonts w:asciiTheme="minorHAnsi" w:hAnsiTheme="minorHAnsi" w:cs="Arial"/>
        </w:rPr>
        <w:t>arrangements</w:t>
      </w:r>
      <w:r w:rsidRPr="00A11265">
        <w:rPr>
          <w:rFonts w:asciiTheme="minorHAnsi" w:hAnsiTheme="minorHAnsi" w:cs="Arial"/>
        </w:rPr>
        <w:t xml:space="preserve"> should incorporate service standards, in addition to system standards</w:t>
      </w:r>
      <w:r w:rsidR="00462D03" w:rsidRPr="00A11265">
        <w:rPr>
          <w:rFonts w:asciiTheme="minorHAnsi" w:hAnsiTheme="minorHAnsi" w:cs="Arial"/>
        </w:rPr>
        <w:t>;</w:t>
      </w:r>
      <w:r w:rsidRPr="00A11265">
        <w:rPr>
          <w:rFonts w:asciiTheme="minorHAnsi" w:hAnsiTheme="minorHAnsi" w:cs="Arial"/>
        </w:rPr>
        <w:t xml:space="preserve"> how service standards should be applie</w:t>
      </w:r>
      <w:r w:rsidR="00462D03" w:rsidRPr="00A11265">
        <w:rPr>
          <w:rFonts w:asciiTheme="minorHAnsi" w:hAnsiTheme="minorHAnsi" w:cs="Arial"/>
        </w:rPr>
        <w:t>d;</w:t>
      </w:r>
      <w:r w:rsidRPr="00A11265">
        <w:rPr>
          <w:rFonts w:asciiTheme="minorHAnsi" w:hAnsiTheme="minorHAnsi" w:cs="Arial"/>
        </w:rPr>
        <w:t xml:space="preserve"> and what oversight and transparency measures should apply to the System Controller’s determination of service requirements.</w:t>
      </w:r>
    </w:p>
    <w:p w14:paraId="0030004A" w14:textId="06240849" w:rsidR="001E02F0" w:rsidRPr="00A11265" w:rsidRDefault="00462D03" w:rsidP="00CB560D">
      <w:pPr>
        <w:rPr>
          <w:rFonts w:asciiTheme="minorHAnsi" w:hAnsiTheme="minorHAnsi" w:cs="Arial"/>
        </w:rPr>
      </w:pPr>
      <w:r w:rsidRPr="00A11265">
        <w:rPr>
          <w:rFonts w:asciiTheme="minorHAnsi" w:hAnsiTheme="minorHAnsi" w:cs="Arial"/>
        </w:rPr>
        <w:t>Stakeholders</w:t>
      </w:r>
      <w:r w:rsidR="001E02F0" w:rsidRPr="00A11265">
        <w:rPr>
          <w:rFonts w:asciiTheme="minorHAnsi" w:hAnsiTheme="minorHAnsi" w:cs="Arial"/>
        </w:rPr>
        <w:t xml:space="preserve"> either explicitly supported (Jacana, T-Gen), or did not comment on the desirability of service standards for essential system services on the NT regulated systems.</w:t>
      </w:r>
    </w:p>
    <w:p w14:paraId="3B09C599" w14:textId="6F325064" w:rsidR="001E02F0" w:rsidRPr="00A11265" w:rsidRDefault="00462D03" w:rsidP="00CB560D">
      <w:pPr>
        <w:rPr>
          <w:rFonts w:asciiTheme="minorHAnsi" w:hAnsiTheme="minorHAnsi" w:cs="Arial"/>
        </w:rPr>
      </w:pPr>
      <w:r w:rsidRPr="00A11265">
        <w:rPr>
          <w:rFonts w:asciiTheme="minorHAnsi" w:hAnsiTheme="minorHAnsi" w:cs="Arial"/>
        </w:rPr>
        <w:t>Stakeholders</w:t>
      </w:r>
      <w:r w:rsidR="007925AB" w:rsidRPr="00A11265">
        <w:rPr>
          <w:rFonts w:asciiTheme="minorHAnsi" w:hAnsiTheme="minorHAnsi" w:cs="Arial"/>
        </w:rPr>
        <w:t xml:space="preserve"> (T-Gen, Jacana, </w:t>
      </w:r>
      <w:proofErr w:type="gramStart"/>
      <w:r w:rsidR="00E15B7D" w:rsidRPr="00A11265">
        <w:rPr>
          <w:rFonts w:asciiTheme="minorHAnsi" w:hAnsiTheme="minorHAnsi" w:cs="Arial"/>
        </w:rPr>
        <w:t>Eni</w:t>
      </w:r>
      <w:proofErr w:type="gramEnd"/>
      <w:r w:rsidR="00DA44B5">
        <w:rPr>
          <w:rFonts w:asciiTheme="minorHAnsi" w:hAnsiTheme="minorHAnsi" w:cs="Arial"/>
        </w:rPr>
        <w:t xml:space="preserve"> Australia</w:t>
      </w:r>
      <w:r w:rsidR="00E15B7D" w:rsidRPr="00A11265">
        <w:rPr>
          <w:rFonts w:asciiTheme="minorHAnsi" w:hAnsiTheme="minorHAnsi" w:cs="Arial"/>
        </w:rPr>
        <w:t>) also</w:t>
      </w:r>
      <w:r w:rsidR="007925AB" w:rsidRPr="00A11265">
        <w:rPr>
          <w:rFonts w:asciiTheme="minorHAnsi" w:hAnsiTheme="minorHAnsi" w:cs="Arial"/>
        </w:rPr>
        <w:t xml:space="preserve"> indicated support for a high degree transparency and oversight of the System Controller’s determination of service requirements, i</w:t>
      </w:r>
      <w:r w:rsidR="00E15B7D" w:rsidRPr="00A11265">
        <w:rPr>
          <w:rFonts w:asciiTheme="minorHAnsi" w:hAnsiTheme="minorHAnsi" w:cs="Arial"/>
        </w:rPr>
        <w:t>ncluding for service standards to be incorporated into</w:t>
      </w:r>
      <w:r w:rsidR="007925AB" w:rsidRPr="00A11265">
        <w:rPr>
          <w:rFonts w:asciiTheme="minorHAnsi" w:hAnsiTheme="minorHAnsi" w:cs="Arial"/>
        </w:rPr>
        <w:t xml:space="preserve"> regulatory </w:t>
      </w:r>
      <w:r w:rsidR="00E15B7D" w:rsidRPr="00A11265">
        <w:rPr>
          <w:rFonts w:asciiTheme="minorHAnsi" w:hAnsiTheme="minorHAnsi" w:cs="Arial"/>
        </w:rPr>
        <w:t>instruments.</w:t>
      </w:r>
    </w:p>
    <w:p w14:paraId="553D3D8A" w14:textId="19989FD5" w:rsidR="00E15B7D" w:rsidRPr="00A11265" w:rsidRDefault="00E15B7D" w:rsidP="00E15B7D">
      <w:pPr>
        <w:rPr>
          <w:rFonts w:asciiTheme="minorHAnsi" w:hAnsiTheme="minorHAnsi" w:cs="Arial"/>
        </w:rPr>
      </w:pPr>
      <w:r w:rsidRPr="00A11265">
        <w:rPr>
          <w:rFonts w:asciiTheme="minorHAnsi" w:hAnsiTheme="minorHAnsi" w:cs="Arial"/>
        </w:rPr>
        <w:lastRenderedPageBreak/>
        <w:t>Jacana stated:</w:t>
      </w:r>
    </w:p>
    <w:p w14:paraId="296EA968" w14:textId="231527B6" w:rsidR="00E15B7D" w:rsidRPr="00A11265" w:rsidRDefault="00E15B7D" w:rsidP="00E15B7D">
      <w:pPr>
        <w:ind w:left="567" w:right="567"/>
        <w:rPr>
          <w:rFonts w:asciiTheme="minorHAnsi" w:hAnsiTheme="minorHAnsi" w:cs="Arial"/>
          <w:i/>
        </w:rPr>
      </w:pPr>
      <w:r w:rsidRPr="00A11265">
        <w:rPr>
          <w:rFonts w:asciiTheme="minorHAnsi" w:hAnsiTheme="minorHAnsi" w:cs="Arial"/>
          <w:i/>
        </w:rPr>
        <w:t>ESS standards should be established by a separate organisation that considers the trade-offs between ESS costs and energy security. Once set, System Control should then be responsible for ensuring that the standards are met and made accountable when deviations in technical performance arise. These deviations could arise from the non-performance of ESS suppliers (e.g. generators) and the network operator, or due to the failure of System Control to follow procedures.</w:t>
      </w:r>
      <w:r w:rsidR="001847A1">
        <w:rPr>
          <w:rStyle w:val="FootnoteReference"/>
          <w:rFonts w:asciiTheme="minorHAnsi" w:hAnsiTheme="minorHAnsi" w:cs="Arial"/>
          <w:i/>
        </w:rPr>
        <w:footnoteReference w:id="24"/>
      </w:r>
    </w:p>
    <w:p w14:paraId="78956F0C" w14:textId="1EA956E0" w:rsidR="00E15B7D" w:rsidRPr="00A11265" w:rsidRDefault="002A281C" w:rsidP="00CB560D">
      <w:pPr>
        <w:rPr>
          <w:rFonts w:asciiTheme="minorHAnsi" w:hAnsiTheme="minorHAnsi" w:cs="Arial"/>
        </w:rPr>
      </w:pPr>
      <w:r w:rsidRPr="00A11265">
        <w:rPr>
          <w:rFonts w:asciiTheme="minorHAnsi" w:hAnsiTheme="minorHAnsi" w:cs="Arial"/>
        </w:rPr>
        <w:t>Similarly, T-Gen considered:</w:t>
      </w:r>
    </w:p>
    <w:p w14:paraId="50C257DD" w14:textId="0B2534EA" w:rsidR="002A281C" w:rsidRPr="00A11265" w:rsidRDefault="002A281C" w:rsidP="002A281C">
      <w:pPr>
        <w:ind w:left="567" w:right="567"/>
        <w:rPr>
          <w:rFonts w:asciiTheme="minorHAnsi" w:hAnsiTheme="minorHAnsi" w:cs="Arial"/>
          <w:i/>
        </w:rPr>
      </w:pPr>
      <w:r w:rsidRPr="00A11265">
        <w:rPr>
          <w:rFonts w:asciiTheme="minorHAnsi" w:hAnsiTheme="minorHAnsi" w:cs="Arial"/>
          <w:i/>
        </w:rPr>
        <w:t xml:space="preserve">… </w:t>
      </w:r>
      <w:proofErr w:type="gramStart"/>
      <w:r w:rsidRPr="00A11265">
        <w:rPr>
          <w:rFonts w:asciiTheme="minorHAnsi" w:hAnsiTheme="minorHAnsi" w:cs="Arial"/>
          <w:i/>
        </w:rPr>
        <w:t>these</w:t>
      </w:r>
      <w:proofErr w:type="gramEnd"/>
      <w:r w:rsidRPr="00A11265">
        <w:rPr>
          <w:rFonts w:asciiTheme="minorHAnsi" w:hAnsiTheme="minorHAnsi" w:cs="Arial"/>
          <w:i/>
        </w:rPr>
        <w:t xml:space="preserve"> standards should be applied in a regulatory instrument that is not a System Controller instrument. System Controller must apply to make changes to the service standards in the same manner that any other system participant is required to do.</w:t>
      </w:r>
      <w:r w:rsidR="001847A1">
        <w:rPr>
          <w:rStyle w:val="FootnoteReference"/>
          <w:rFonts w:asciiTheme="minorHAnsi" w:hAnsiTheme="minorHAnsi" w:cs="Arial"/>
          <w:i/>
        </w:rPr>
        <w:footnoteReference w:id="25"/>
      </w:r>
    </w:p>
    <w:p w14:paraId="20C2CAB6" w14:textId="07EA69AE" w:rsidR="00E15B7D" w:rsidRPr="00A11265" w:rsidRDefault="00E15B7D" w:rsidP="00CB560D">
      <w:pPr>
        <w:rPr>
          <w:rFonts w:asciiTheme="minorHAnsi" w:hAnsiTheme="minorHAnsi" w:cs="Arial"/>
        </w:rPr>
      </w:pPr>
      <w:r w:rsidRPr="00A11265">
        <w:rPr>
          <w:rFonts w:asciiTheme="minorHAnsi" w:hAnsiTheme="minorHAnsi" w:cs="Arial"/>
        </w:rPr>
        <w:t xml:space="preserve">T-Gen suggested that </w:t>
      </w:r>
      <w:r w:rsidR="00C14C52" w:rsidRPr="00A11265">
        <w:rPr>
          <w:rFonts w:asciiTheme="minorHAnsi" w:hAnsiTheme="minorHAnsi" w:cs="Arial"/>
        </w:rPr>
        <w:t>governance arrangements should also address situations where the System Controller</w:t>
      </w:r>
      <w:r w:rsidRPr="00A11265">
        <w:rPr>
          <w:rFonts w:asciiTheme="minorHAnsi" w:hAnsiTheme="minorHAnsi" w:cs="Arial"/>
        </w:rPr>
        <w:t xml:space="preserve"> </w:t>
      </w:r>
      <w:r w:rsidR="00C14C52" w:rsidRPr="00A11265">
        <w:rPr>
          <w:rFonts w:asciiTheme="minorHAnsi" w:hAnsiTheme="minorHAnsi" w:cs="Arial"/>
        </w:rPr>
        <w:t>makes suboptimal decisions:</w:t>
      </w:r>
    </w:p>
    <w:p w14:paraId="5BBB8A82" w14:textId="15D20071" w:rsidR="003E5791" w:rsidRPr="00A11265" w:rsidRDefault="00090FE7" w:rsidP="00D9724C">
      <w:pPr>
        <w:ind w:left="567" w:right="567"/>
        <w:rPr>
          <w:rFonts w:asciiTheme="minorHAnsi" w:hAnsiTheme="minorHAnsi" w:cs="Arial"/>
          <w:i/>
        </w:rPr>
      </w:pPr>
      <w:r w:rsidRPr="00A11265">
        <w:rPr>
          <w:rFonts w:asciiTheme="minorHAnsi" w:hAnsiTheme="minorHAnsi" w:cs="Arial"/>
          <w:i/>
        </w:rPr>
        <w:t xml:space="preserve">A mechanism for recovery of costs by a service provider from the System Controller should be considered where an audit identifies that the System Controller has not genuinely consulted, or is found to have not </w:t>
      </w:r>
      <w:r w:rsidR="00A569DD" w:rsidRPr="00A11265">
        <w:rPr>
          <w:rFonts w:asciiTheme="minorHAnsi" w:hAnsiTheme="minorHAnsi" w:cs="Arial"/>
          <w:i/>
        </w:rPr>
        <w:t>implemented</w:t>
      </w:r>
      <w:r w:rsidRPr="00A11265">
        <w:rPr>
          <w:rFonts w:asciiTheme="minorHAnsi" w:hAnsiTheme="minorHAnsi" w:cs="Arial"/>
          <w:i/>
        </w:rPr>
        <w:t xml:space="preserve"> the lowest cost solution to </w:t>
      </w:r>
      <w:proofErr w:type="gramStart"/>
      <w:r w:rsidRPr="00A11265">
        <w:rPr>
          <w:rFonts w:asciiTheme="minorHAnsi" w:hAnsiTheme="minorHAnsi" w:cs="Arial"/>
          <w:i/>
        </w:rPr>
        <w:t>a</w:t>
      </w:r>
      <w:proofErr w:type="gramEnd"/>
      <w:r w:rsidRPr="00A11265">
        <w:rPr>
          <w:rFonts w:asciiTheme="minorHAnsi" w:hAnsiTheme="minorHAnsi" w:cs="Arial"/>
          <w:i/>
        </w:rPr>
        <w:t xml:space="preserve"> ESS </w:t>
      </w:r>
      <w:r w:rsidR="00A569DD" w:rsidRPr="00A11265">
        <w:rPr>
          <w:rFonts w:asciiTheme="minorHAnsi" w:hAnsiTheme="minorHAnsi" w:cs="Arial"/>
          <w:i/>
        </w:rPr>
        <w:t>requirement</w:t>
      </w:r>
      <w:r w:rsidRPr="00A11265">
        <w:rPr>
          <w:rFonts w:asciiTheme="minorHAnsi" w:hAnsiTheme="minorHAnsi" w:cs="Arial"/>
          <w:i/>
        </w:rPr>
        <w:t>.</w:t>
      </w:r>
      <w:r w:rsidR="001847A1">
        <w:rPr>
          <w:rStyle w:val="FootnoteReference"/>
          <w:rFonts w:asciiTheme="minorHAnsi" w:hAnsiTheme="minorHAnsi" w:cs="Arial"/>
          <w:i/>
        </w:rPr>
        <w:footnoteReference w:id="26"/>
      </w:r>
    </w:p>
    <w:p w14:paraId="036079F4" w14:textId="28469173" w:rsidR="00CB560D" w:rsidRPr="00A11265" w:rsidRDefault="002B7001" w:rsidP="00CB560D">
      <w:pPr>
        <w:pStyle w:val="Heading2"/>
        <w:keepNext/>
        <w:rPr>
          <w:lang w:eastAsia="en-AU"/>
        </w:rPr>
      </w:pPr>
      <w:bookmarkStart w:id="159" w:name="_Toc58156991"/>
      <w:bookmarkStart w:id="160" w:name="_Toc58207574"/>
      <w:bookmarkStart w:id="161" w:name="_Toc61956196"/>
      <w:bookmarkEnd w:id="159"/>
      <w:bookmarkEnd w:id="160"/>
      <w:r w:rsidRPr="00A11265">
        <w:rPr>
          <w:lang w:eastAsia="en-AU"/>
        </w:rPr>
        <w:t>Analysis</w:t>
      </w:r>
      <w:bookmarkEnd w:id="161"/>
    </w:p>
    <w:p w14:paraId="502A2FC0" w14:textId="62D189E8" w:rsidR="00630F2B" w:rsidRPr="00A11265" w:rsidRDefault="003E5791" w:rsidP="00CB560D">
      <w:pPr>
        <w:rPr>
          <w:rFonts w:asciiTheme="minorHAnsi" w:hAnsiTheme="minorHAnsi" w:cs="Arial"/>
        </w:rPr>
      </w:pPr>
      <w:r w:rsidRPr="00A11265">
        <w:rPr>
          <w:rFonts w:asciiTheme="minorHAnsi" w:hAnsiTheme="minorHAnsi" w:cs="Arial"/>
        </w:rPr>
        <w:t>The opaqueness of the</w:t>
      </w:r>
      <w:r w:rsidR="00630F2B" w:rsidRPr="00A11265">
        <w:rPr>
          <w:rFonts w:asciiTheme="minorHAnsi" w:hAnsiTheme="minorHAnsi" w:cs="Arial"/>
        </w:rPr>
        <w:t xml:space="preserve"> current arrangements for the determination of essential system services requirements</w:t>
      </w:r>
      <w:r w:rsidRPr="00A11265">
        <w:rPr>
          <w:rFonts w:asciiTheme="minorHAnsi" w:hAnsiTheme="minorHAnsi" w:cs="Arial"/>
        </w:rPr>
        <w:t xml:space="preserve"> for the NT regulated systems</w:t>
      </w:r>
      <w:r w:rsidR="00630F2B" w:rsidRPr="00A11265">
        <w:rPr>
          <w:rFonts w:asciiTheme="minorHAnsi" w:hAnsiTheme="minorHAnsi" w:cs="Arial"/>
        </w:rPr>
        <w:t xml:space="preserve"> </w:t>
      </w:r>
      <w:r w:rsidR="00901D6D">
        <w:rPr>
          <w:rFonts w:asciiTheme="minorHAnsi" w:hAnsiTheme="minorHAnsi" w:cs="Arial"/>
        </w:rPr>
        <w:t xml:space="preserve">is </w:t>
      </w:r>
      <w:r w:rsidR="00630F2B" w:rsidRPr="00A11265">
        <w:rPr>
          <w:rFonts w:asciiTheme="minorHAnsi" w:hAnsiTheme="minorHAnsi" w:cs="Arial"/>
        </w:rPr>
        <w:t>in contrast to those in the NEM and WEM, which have defined transparency and oversight mechanisms.</w:t>
      </w:r>
    </w:p>
    <w:p w14:paraId="5EA01839" w14:textId="0DF1EB37" w:rsidR="00CB560D" w:rsidRPr="00A11265" w:rsidRDefault="00630F2B" w:rsidP="00D9724C">
      <w:pPr>
        <w:pStyle w:val="Heading3"/>
        <w:rPr>
          <w:szCs w:val="24"/>
          <w:lang w:eastAsia="en-AU"/>
        </w:rPr>
      </w:pPr>
      <w:r w:rsidRPr="00A11265">
        <w:rPr>
          <w:szCs w:val="24"/>
          <w:lang w:eastAsia="en-AU"/>
        </w:rPr>
        <w:t>Service standards</w:t>
      </w:r>
    </w:p>
    <w:p w14:paraId="3F51AEAE" w14:textId="015F314F" w:rsidR="00630F2B" w:rsidRPr="00A11265" w:rsidRDefault="00E7021F" w:rsidP="00630F2B">
      <w:pPr>
        <w:rPr>
          <w:rFonts w:asciiTheme="minorHAnsi" w:hAnsiTheme="minorHAnsi" w:cs="Arial"/>
        </w:rPr>
      </w:pPr>
      <w:r w:rsidRPr="00A11265">
        <w:rPr>
          <w:rFonts w:asciiTheme="minorHAnsi" w:hAnsiTheme="minorHAnsi" w:cs="Arial"/>
        </w:rPr>
        <w:t>C</w:t>
      </w:r>
      <w:r w:rsidR="00630F2B" w:rsidRPr="00A11265">
        <w:rPr>
          <w:rFonts w:asciiTheme="minorHAnsi" w:hAnsiTheme="minorHAnsi" w:cs="Arial"/>
        </w:rPr>
        <w:t xml:space="preserve">ontemporary service standards — that define system standards in terms of the essential system services required to maintain them — </w:t>
      </w:r>
      <w:r w:rsidR="00772124" w:rsidRPr="00A11265">
        <w:rPr>
          <w:rFonts w:asciiTheme="minorHAnsi" w:hAnsiTheme="minorHAnsi" w:cs="Arial"/>
        </w:rPr>
        <w:t xml:space="preserve">can </w:t>
      </w:r>
      <w:r w:rsidR="00630F2B" w:rsidRPr="00A11265">
        <w:rPr>
          <w:rFonts w:asciiTheme="minorHAnsi" w:hAnsiTheme="minorHAnsi" w:cs="Arial"/>
        </w:rPr>
        <w:t>provide a benchmark against which to compare the essential system services dispatched by the System Controller and are likely to increase the confidence of market participants in the essential system services</w:t>
      </w:r>
      <w:r w:rsidR="00772124" w:rsidRPr="00A11265">
        <w:rPr>
          <w:rFonts w:asciiTheme="minorHAnsi" w:hAnsiTheme="minorHAnsi" w:cs="Arial"/>
        </w:rPr>
        <w:t xml:space="preserve"> fr</w:t>
      </w:r>
      <w:r w:rsidR="00B55951" w:rsidRPr="00A11265">
        <w:rPr>
          <w:rFonts w:asciiTheme="minorHAnsi" w:hAnsiTheme="minorHAnsi" w:cs="Arial"/>
        </w:rPr>
        <w:t>amework.</w:t>
      </w:r>
    </w:p>
    <w:p w14:paraId="493C377F" w14:textId="77777777" w:rsidR="00272466" w:rsidRDefault="00CB560D" w:rsidP="00272466">
      <w:pPr>
        <w:rPr>
          <w:rFonts w:asciiTheme="minorHAnsi" w:hAnsiTheme="minorHAnsi" w:cs="Arial"/>
        </w:rPr>
      </w:pPr>
      <w:r w:rsidRPr="00A11265">
        <w:rPr>
          <w:rFonts w:asciiTheme="minorHAnsi" w:hAnsiTheme="minorHAnsi" w:cs="Arial"/>
        </w:rPr>
        <w:t xml:space="preserve">In the WEM, service standards are set out in the Market Rules for each </w:t>
      </w:r>
      <w:r w:rsidR="003E5791" w:rsidRPr="00A11265">
        <w:rPr>
          <w:rFonts w:asciiTheme="minorHAnsi" w:hAnsiTheme="minorHAnsi" w:cs="Arial"/>
        </w:rPr>
        <w:t>essential system service</w:t>
      </w:r>
      <w:r w:rsidRPr="00A11265">
        <w:rPr>
          <w:rFonts w:asciiTheme="minorHAnsi" w:hAnsiTheme="minorHAnsi" w:cs="Arial"/>
        </w:rPr>
        <w:t xml:space="preserve"> </w:t>
      </w:r>
      <w:r w:rsidR="00E51C4F" w:rsidRPr="00A11265">
        <w:rPr>
          <w:rFonts w:asciiTheme="minorHAnsi" w:hAnsiTheme="minorHAnsi" w:cs="Arial"/>
        </w:rPr>
        <w:t>—</w:t>
      </w:r>
      <w:r w:rsidRPr="00A11265">
        <w:rPr>
          <w:rFonts w:asciiTheme="minorHAnsi" w:hAnsiTheme="minorHAnsi" w:cs="Arial"/>
        </w:rPr>
        <w:t xml:space="preserve"> Load Following Ancillary Service (frequency regulation), Spinning Reserve Service (contingency frequency raise) and Load Rejection Reserve Service (contingency frequency lower)</w:t>
      </w:r>
      <w:r w:rsidR="00CC4CA6" w:rsidRPr="00A11265">
        <w:rPr>
          <w:rFonts w:asciiTheme="minorHAnsi" w:hAnsiTheme="minorHAnsi" w:cs="Arial"/>
        </w:rPr>
        <w:t xml:space="preserve"> (Table 3-1)</w:t>
      </w:r>
      <w:r w:rsidRPr="00A11265">
        <w:rPr>
          <w:rFonts w:asciiTheme="minorHAnsi" w:hAnsiTheme="minorHAnsi" w:cs="Arial"/>
        </w:rPr>
        <w:t>.</w:t>
      </w:r>
      <w:r w:rsidR="00CC6FCF" w:rsidRPr="00A11265">
        <w:rPr>
          <w:rStyle w:val="FootnoteReference"/>
          <w:rFonts w:asciiTheme="minorHAnsi" w:hAnsiTheme="minorHAnsi" w:cs="Arial"/>
        </w:rPr>
        <w:footnoteReference w:id="27"/>
      </w:r>
      <w:r w:rsidRPr="00A11265">
        <w:rPr>
          <w:rFonts w:asciiTheme="minorHAnsi" w:hAnsiTheme="minorHAnsi" w:cs="Arial"/>
        </w:rPr>
        <w:t xml:space="preserve"> </w:t>
      </w:r>
    </w:p>
    <w:p w14:paraId="5CA0A4B2" w14:textId="2D4EF5E6" w:rsidR="00272466" w:rsidRPr="00A11265" w:rsidRDefault="00272466" w:rsidP="00272466">
      <w:pPr>
        <w:rPr>
          <w:rFonts w:asciiTheme="minorHAnsi" w:hAnsiTheme="minorHAnsi" w:cs="Arial"/>
        </w:rPr>
      </w:pPr>
      <w:r w:rsidRPr="00A11265">
        <w:rPr>
          <w:rFonts w:asciiTheme="minorHAnsi" w:hAnsiTheme="minorHAnsi" w:cs="Arial"/>
        </w:rPr>
        <w:t>The WEM Market Rules also specify that the standard for the System Restart Service must be a level which is sufficient to meet the operational plans developed by System Management — a standard has been published setting out the amount of time within which System Restart Services are required to restore supply to a specified level and how this is to be achieved.</w:t>
      </w:r>
      <w:r w:rsidRPr="00A11265">
        <w:rPr>
          <w:rStyle w:val="FootnoteReference"/>
          <w:rFonts w:asciiTheme="minorHAnsi" w:hAnsiTheme="minorHAnsi" w:cs="Arial"/>
        </w:rPr>
        <w:footnoteReference w:id="28"/>
      </w:r>
      <w:r w:rsidRPr="00A11265">
        <w:rPr>
          <w:rFonts w:asciiTheme="minorHAnsi" w:hAnsiTheme="minorHAnsi" w:cs="Arial"/>
        </w:rPr>
        <w:t xml:space="preserve"> Amendments to the WEM Market Rules are subject to a public consultation process and a decision by an independent rule change panel.</w:t>
      </w:r>
    </w:p>
    <w:p w14:paraId="6FC667D5" w14:textId="5AD093E9" w:rsidR="00716E08" w:rsidRPr="00A11265" w:rsidRDefault="00716E08" w:rsidP="00CB560D">
      <w:pPr>
        <w:rPr>
          <w:rFonts w:asciiTheme="minorHAnsi" w:hAnsiTheme="minorHAnsi" w:cs="Arial"/>
        </w:rPr>
      </w:pPr>
    </w:p>
    <w:p w14:paraId="1BF8E32B" w14:textId="663A0F37" w:rsidR="00716E08" w:rsidRPr="00A23B49" w:rsidRDefault="00716E08" w:rsidP="00716E08">
      <w:pPr>
        <w:keepNext/>
        <w:spacing w:after="0"/>
        <w:rPr>
          <w:rFonts w:asciiTheme="minorHAnsi" w:hAnsiTheme="minorHAnsi" w:cs="Arial"/>
          <w:b/>
        </w:rPr>
      </w:pPr>
      <w:r w:rsidRPr="00A23B49">
        <w:rPr>
          <w:rFonts w:asciiTheme="minorHAnsi" w:hAnsiTheme="minorHAnsi" w:cs="Arial"/>
          <w:b/>
        </w:rPr>
        <w:lastRenderedPageBreak/>
        <w:t xml:space="preserve">Table 3-1 </w:t>
      </w:r>
      <w:r w:rsidRPr="00A23B49">
        <w:rPr>
          <w:rFonts w:asciiTheme="minorHAnsi" w:hAnsiTheme="minorHAnsi" w:cs="Arial"/>
          <w:b/>
        </w:rPr>
        <w:tab/>
      </w:r>
      <w:r w:rsidR="00591C2F" w:rsidRPr="00A23B49">
        <w:rPr>
          <w:rFonts w:asciiTheme="minorHAnsi" w:hAnsiTheme="minorHAnsi" w:cs="Arial"/>
          <w:b/>
        </w:rPr>
        <w:t xml:space="preserve">Western Australian Wholesale Electricity Market </w:t>
      </w:r>
      <w:r w:rsidRPr="00A23B49">
        <w:rPr>
          <w:rFonts w:asciiTheme="minorHAnsi" w:hAnsiTheme="minorHAnsi" w:cs="Arial"/>
          <w:b/>
        </w:rPr>
        <w:t>Service Standards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8765"/>
      </w:tblGrid>
      <w:tr w:rsidR="00716E08" w:rsidRPr="00AA4D6E" w14:paraId="295D1AB5" w14:textId="77777777" w:rsidTr="00D24B1D">
        <w:trPr>
          <w:tblHeader/>
        </w:trPr>
        <w:tc>
          <w:tcPr>
            <w:tcW w:w="0" w:type="auto"/>
            <w:tcBorders>
              <w:top w:val="single" w:sz="4" w:space="0" w:color="auto"/>
              <w:bottom w:val="single" w:sz="4" w:space="0" w:color="auto"/>
            </w:tcBorders>
          </w:tcPr>
          <w:p w14:paraId="362FB7AC" w14:textId="77777777" w:rsidR="00716E08" w:rsidRPr="00A23B49" w:rsidRDefault="00716E08" w:rsidP="00972E86">
            <w:pPr>
              <w:keepNext/>
              <w:rPr>
                <w:rFonts w:asciiTheme="minorHAnsi" w:hAnsiTheme="minorHAnsi" w:cs="Arial"/>
                <w:b/>
              </w:rPr>
            </w:pPr>
            <w:r w:rsidRPr="00A23B49">
              <w:rPr>
                <w:rFonts w:asciiTheme="minorHAnsi" w:hAnsiTheme="minorHAnsi"/>
                <w:b/>
              </w:rPr>
              <w:t>Essential system service</w:t>
            </w:r>
          </w:p>
        </w:tc>
        <w:tc>
          <w:tcPr>
            <w:tcW w:w="0" w:type="auto"/>
            <w:tcBorders>
              <w:top w:val="single" w:sz="4" w:space="0" w:color="auto"/>
              <w:bottom w:val="single" w:sz="4" w:space="0" w:color="auto"/>
            </w:tcBorders>
          </w:tcPr>
          <w:p w14:paraId="5FA60D29" w14:textId="2AFD08A5" w:rsidR="00716E08" w:rsidRPr="00A23B49" w:rsidRDefault="00716E08" w:rsidP="00972E86">
            <w:pPr>
              <w:keepNext/>
              <w:rPr>
                <w:rFonts w:asciiTheme="minorHAnsi" w:hAnsiTheme="minorHAnsi" w:cs="Arial"/>
                <w:b/>
              </w:rPr>
            </w:pPr>
            <w:r w:rsidRPr="00A23B49">
              <w:rPr>
                <w:rFonts w:asciiTheme="minorHAnsi" w:hAnsiTheme="minorHAnsi"/>
                <w:b/>
              </w:rPr>
              <w:t>Service standard (extract)</w:t>
            </w:r>
          </w:p>
        </w:tc>
      </w:tr>
      <w:tr w:rsidR="00716E08" w:rsidRPr="00AA4D6E" w14:paraId="54B56F76" w14:textId="77777777" w:rsidTr="00972E86">
        <w:tc>
          <w:tcPr>
            <w:tcW w:w="0" w:type="auto"/>
            <w:tcBorders>
              <w:top w:val="single" w:sz="4" w:space="0" w:color="auto"/>
              <w:bottom w:val="single" w:sz="4" w:space="0" w:color="auto"/>
            </w:tcBorders>
          </w:tcPr>
          <w:p w14:paraId="73D665E6" w14:textId="2A05C9A9" w:rsidR="00716E08" w:rsidRPr="00A23B49" w:rsidRDefault="00716E08" w:rsidP="00972E86">
            <w:pPr>
              <w:keepNext/>
              <w:spacing w:before="60" w:after="60"/>
              <w:rPr>
                <w:rFonts w:asciiTheme="minorHAnsi" w:hAnsiTheme="minorHAnsi" w:cs="Arial"/>
                <w:i/>
              </w:rPr>
            </w:pPr>
            <w:r w:rsidRPr="00A23B49">
              <w:rPr>
                <w:rFonts w:asciiTheme="minorHAnsi" w:hAnsiTheme="minorHAnsi" w:cs="Arial"/>
                <w:i/>
              </w:rPr>
              <w:t>Load Following Service</w:t>
            </w:r>
          </w:p>
        </w:tc>
        <w:tc>
          <w:tcPr>
            <w:tcW w:w="0" w:type="auto"/>
            <w:tcBorders>
              <w:top w:val="single" w:sz="4" w:space="0" w:color="auto"/>
              <w:bottom w:val="single" w:sz="4" w:space="0" w:color="auto"/>
            </w:tcBorders>
          </w:tcPr>
          <w:p w14:paraId="5FB9EEF5" w14:textId="77777777" w:rsidR="00716E08" w:rsidRPr="00A23B49" w:rsidRDefault="00716E08" w:rsidP="00F51F16">
            <w:pPr>
              <w:pStyle w:val="Body"/>
              <w:keepNext/>
              <w:numPr>
                <w:ilvl w:val="0"/>
                <w:numId w:val="15"/>
              </w:numPr>
              <w:spacing w:after="60" w:line="240" w:lineRule="auto"/>
              <w:ind w:left="342" w:hanging="342"/>
              <w:rPr>
                <w:rFonts w:asciiTheme="minorHAnsi" w:hAnsiTheme="minorHAnsi" w:cs="Arial"/>
                <w:i/>
                <w:sz w:val="22"/>
                <w:szCs w:val="22"/>
              </w:rPr>
            </w:pPr>
            <w:r w:rsidRPr="00A23B49">
              <w:rPr>
                <w:rFonts w:asciiTheme="minorHAnsi" w:hAnsiTheme="minorHAnsi" w:cs="Arial"/>
                <w:i/>
                <w:sz w:val="22"/>
                <w:szCs w:val="22"/>
              </w:rPr>
              <w:t xml:space="preserve">provide Minimum Frequency Keeping Capacity, where the Minimum Frequency Keeping Capacity is the greater of: </w:t>
            </w:r>
          </w:p>
          <w:p w14:paraId="31479549" w14:textId="77777777" w:rsidR="00716E08" w:rsidRPr="00A23B49" w:rsidRDefault="00716E08" w:rsidP="00F51F16">
            <w:pPr>
              <w:pStyle w:val="Body"/>
              <w:keepNext/>
              <w:numPr>
                <w:ilvl w:val="1"/>
                <w:numId w:val="15"/>
              </w:numPr>
              <w:spacing w:after="60" w:line="240" w:lineRule="auto"/>
              <w:rPr>
                <w:rFonts w:asciiTheme="minorHAnsi" w:hAnsiTheme="minorHAnsi" w:cs="Arial"/>
                <w:i/>
                <w:sz w:val="22"/>
                <w:szCs w:val="22"/>
              </w:rPr>
            </w:pPr>
            <w:r w:rsidRPr="00A23B49">
              <w:rPr>
                <w:rFonts w:ascii="Lato" w:hAnsi="Lato" w:cs="Arial"/>
                <w:i/>
                <w:sz w:val="22"/>
                <w:szCs w:val="22"/>
              </w:rPr>
              <w:t xml:space="preserve">30 MW; and </w:t>
            </w:r>
          </w:p>
          <w:p w14:paraId="1A46B6D9" w14:textId="56D9650B" w:rsidR="00716E08" w:rsidRPr="00A23B49" w:rsidRDefault="00716E08">
            <w:pPr>
              <w:pStyle w:val="Body"/>
              <w:keepNext/>
              <w:numPr>
                <w:ilvl w:val="1"/>
                <w:numId w:val="15"/>
              </w:numPr>
              <w:spacing w:after="60" w:line="240" w:lineRule="auto"/>
              <w:rPr>
                <w:rFonts w:asciiTheme="minorHAnsi" w:hAnsiTheme="minorHAnsi" w:cs="Arial"/>
                <w:i/>
                <w:sz w:val="22"/>
                <w:szCs w:val="22"/>
              </w:rPr>
            </w:pPr>
            <w:r w:rsidRPr="00A23B49">
              <w:rPr>
                <w:rFonts w:ascii="Lato" w:hAnsi="Lato" w:cs="Arial"/>
                <w:i/>
                <w:sz w:val="22"/>
                <w:szCs w:val="22"/>
              </w:rPr>
              <w:t>the capacity sufficient to cover 99.9% of the short term fluctuations in load and output of Non-Scheduled Generators and uninstructed output fluctuations from Scheduled Generators, measured as the variance of 1</w:t>
            </w:r>
            <w:r w:rsidR="00AA4D6E">
              <w:rPr>
                <w:rFonts w:ascii="Lato" w:hAnsi="Lato" w:cs="Arial"/>
                <w:i/>
                <w:sz w:val="22"/>
                <w:szCs w:val="22"/>
              </w:rPr>
              <w:t> </w:t>
            </w:r>
            <w:r w:rsidRPr="00A23B49">
              <w:rPr>
                <w:rFonts w:ascii="Lato" w:hAnsi="Lato" w:cs="Arial"/>
                <w:i/>
                <w:sz w:val="22"/>
                <w:szCs w:val="22"/>
              </w:rPr>
              <w:t>minute average readings around a thirty minute rolling average</w:t>
            </w:r>
          </w:p>
        </w:tc>
      </w:tr>
      <w:tr w:rsidR="00716E08" w:rsidRPr="00AA4D6E" w14:paraId="40685912" w14:textId="77777777" w:rsidTr="00972E86">
        <w:tc>
          <w:tcPr>
            <w:tcW w:w="0" w:type="auto"/>
            <w:tcBorders>
              <w:top w:val="single" w:sz="4" w:space="0" w:color="auto"/>
              <w:bottom w:val="single" w:sz="4" w:space="0" w:color="auto"/>
            </w:tcBorders>
          </w:tcPr>
          <w:p w14:paraId="4F81F362" w14:textId="3CCEE8E3" w:rsidR="00716E08" w:rsidRPr="00A23B49" w:rsidRDefault="00591C2F" w:rsidP="00972E86">
            <w:pPr>
              <w:keepNext/>
              <w:spacing w:before="60" w:after="60"/>
              <w:rPr>
                <w:rFonts w:asciiTheme="minorHAnsi" w:hAnsiTheme="minorHAnsi" w:cs="Arial"/>
                <w:i/>
              </w:rPr>
            </w:pPr>
            <w:r w:rsidRPr="00A23B49">
              <w:rPr>
                <w:rFonts w:asciiTheme="minorHAnsi" w:hAnsiTheme="minorHAnsi" w:cs="Arial"/>
                <w:i/>
              </w:rPr>
              <w:t>Spinning Reserve Service</w:t>
            </w:r>
          </w:p>
        </w:tc>
        <w:tc>
          <w:tcPr>
            <w:tcW w:w="0" w:type="auto"/>
            <w:tcBorders>
              <w:top w:val="single" w:sz="4" w:space="0" w:color="auto"/>
              <w:bottom w:val="single" w:sz="4" w:space="0" w:color="auto"/>
            </w:tcBorders>
          </w:tcPr>
          <w:p w14:paraId="49F743EC" w14:textId="410AF1C6" w:rsidR="00716E08" w:rsidRPr="00A23B49" w:rsidRDefault="00716E08" w:rsidP="00F51F16">
            <w:pPr>
              <w:pStyle w:val="Body"/>
              <w:keepNext/>
              <w:numPr>
                <w:ilvl w:val="0"/>
                <w:numId w:val="15"/>
              </w:numPr>
              <w:spacing w:after="60" w:line="240" w:lineRule="auto"/>
              <w:ind w:left="342" w:hanging="342"/>
              <w:rPr>
                <w:rFonts w:asciiTheme="minorHAnsi" w:hAnsiTheme="minorHAnsi" w:cs="Arial"/>
                <w:i/>
                <w:sz w:val="22"/>
                <w:szCs w:val="22"/>
              </w:rPr>
            </w:pPr>
            <w:r w:rsidRPr="00A23B49">
              <w:rPr>
                <w:rFonts w:asciiTheme="minorHAnsi" w:hAnsiTheme="minorHAnsi" w:cs="Arial"/>
                <w:i/>
                <w:sz w:val="22"/>
                <w:szCs w:val="22"/>
              </w:rPr>
              <w:t xml:space="preserve">the level must be sufficient to cover the greater of: </w:t>
            </w:r>
          </w:p>
          <w:p w14:paraId="2DF59D43" w14:textId="03B79B6E" w:rsidR="00716E08" w:rsidRPr="00A23B49" w:rsidRDefault="00716E08" w:rsidP="00F51F16">
            <w:pPr>
              <w:pStyle w:val="Body"/>
              <w:keepNext/>
              <w:numPr>
                <w:ilvl w:val="1"/>
                <w:numId w:val="15"/>
              </w:numPr>
              <w:spacing w:after="60" w:line="240" w:lineRule="auto"/>
              <w:rPr>
                <w:rFonts w:asciiTheme="minorHAnsi" w:hAnsiTheme="minorHAnsi" w:cs="Arial"/>
                <w:i/>
                <w:sz w:val="22"/>
                <w:szCs w:val="22"/>
              </w:rPr>
            </w:pPr>
            <w:r w:rsidRPr="00A23B49">
              <w:rPr>
                <w:rFonts w:asciiTheme="minorHAnsi" w:hAnsiTheme="minorHAnsi" w:cs="Arial"/>
                <w:i/>
                <w:sz w:val="22"/>
                <w:szCs w:val="22"/>
              </w:rPr>
              <w:t>70% of the total output, including Parasitic Load, of the generati</w:t>
            </w:r>
            <w:r w:rsidR="00591C2F" w:rsidRPr="00A23B49">
              <w:rPr>
                <w:rFonts w:asciiTheme="minorHAnsi" w:hAnsiTheme="minorHAnsi" w:cs="Arial"/>
                <w:i/>
                <w:sz w:val="22"/>
                <w:szCs w:val="22"/>
              </w:rPr>
              <w:t>on unit synchronised to the [South West Interconnected System]</w:t>
            </w:r>
            <w:r w:rsidRPr="00A23B49">
              <w:rPr>
                <w:rFonts w:asciiTheme="minorHAnsi" w:hAnsiTheme="minorHAnsi" w:cs="Arial"/>
                <w:i/>
                <w:sz w:val="22"/>
                <w:szCs w:val="22"/>
              </w:rPr>
              <w:t xml:space="preserve"> with the highest total output at that time; and </w:t>
            </w:r>
          </w:p>
          <w:p w14:paraId="35F46470" w14:textId="4314D751" w:rsidR="00716E08" w:rsidRPr="00A23B49" w:rsidRDefault="00716E08" w:rsidP="00F51F16">
            <w:pPr>
              <w:pStyle w:val="Body"/>
              <w:keepNext/>
              <w:numPr>
                <w:ilvl w:val="1"/>
                <w:numId w:val="15"/>
              </w:numPr>
              <w:spacing w:after="60" w:line="240" w:lineRule="auto"/>
              <w:rPr>
                <w:rFonts w:asciiTheme="minorHAnsi" w:hAnsiTheme="minorHAnsi" w:cs="Arial"/>
                <w:i/>
                <w:sz w:val="22"/>
                <w:szCs w:val="22"/>
              </w:rPr>
            </w:pPr>
            <w:r w:rsidRPr="00A23B49">
              <w:rPr>
                <w:rFonts w:asciiTheme="minorHAnsi" w:hAnsiTheme="minorHAnsi" w:cs="Arial"/>
                <w:i/>
                <w:sz w:val="22"/>
                <w:szCs w:val="22"/>
              </w:rPr>
              <w:t>the maximum load ramp expected over a period of 15 minutes;</w:t>
            </w:r>
          </w:p>
        </w:tc>
      </w:tr>
      <w:tr w:rsidR="00716E08" w:rsidRPr="00AA4D6E" w14:paraId="46FF256F" w14:textId="77777777" w:rsidTr="00972E86">
        <w:tc>
          <w:tcPr>
            <w:tcW w:w="0" w:type="auto"/>
            <w:tcBorders>
              <w:top w:val="single" w:sz="4" w:space="0" w:color="auto"/>
              <w:bottom w:val="single" w:sz="4" w:space="0" w:color="auto"/>
            </w:tcBorders>
          </w:tcPr>
          <w:p w14:paraId="7E2DDE14" w14:textId="05820A86" w:rsidR="00716E08" w:rsidRPr="00A23B49" w:rsidRDefault="00591C2F" w:rsidP="00972E86">
            <w:pPr>
              <w:keepNext/>
              <w:spacing w:before="60" w:after="60"/>
              <w:rPr>
                <w:rFonts w:asciiTheme="minorHAnsi" w:hAnsiTheme="minorHAnsi" w:cs="Arial"/>
                <w:i/>
              </w:rPr>
            </w:pPr>
            <w:r w:rsidRPr="00A23B49">
              <w:rPr>
                <w:rFonts w:asciiTheme="minorHAnsi" w:hAnsiTheme="minorHAnsi" w:cs="Arial"/>
                <w:i/>
              </w:rPr>
              <w:t>Load Rejection Reserve Service</w:t>
            </w:r>
          </w:p>
        </w:tc>
        <w:tc>
          <w:tcPr>
            <w:tcW w:w="0" w:type="auto"/>
            <w:tcBorders>
              <w:top w:val="single" w:sz="4" w:space="0" w:color="auto"/>
              <w:bottom w:val="single" w:sz="4" w:space="0" w:color="auto"/>
            </w:tcBorders>
          </w:tcPr>
          <w:p w14:paraId="62B1C491" w14:textId="5CFD8575" w:rsidR="00591C2F" w:rsidRPr="00A23B49" w:rsidRDefault="00591C2F" w:rsidP="00F51F16">
            <w:pPr>
              <w:pStyle w:val="Body"/>
              <w:keepNext/>
              <w:numPr>
                <w:ilvl w:val="0"/>
                <w:numId w:val="15"/>
              </w:numPr>
              <w:spacing w:after="60" w:line="240" w:lineRule="auto"/>
              <w:ind w:left="342" w:hanging="342"/>
              <w:rPr>
                <w:rFonts w:asciiTheme="minorHAnsi" w:hAnsiTheme="minorHAnsi" w:cs="Arial"/>
                <w:i/>
                <w:sz w:val="22"/>
                <w:szCs w:val="22"/>
              </w:rPr>
            </w:pPr>
            <w:r w:rsidRPr="00A23B49">
              <w:rPr>
                <w:rFonts w:asciiTheme="minorHAnsi" w:hAnsiTheme="minorHAnsi" w:cs="Arial"/>
                <w:i/>
                <w:sz w:val="22"/>
                <w:szCs w:val="22"/>
              </w:rPr>
              <w:t xml:space="preserve">the level sufficient to keep over-frequency below 51 Hz for all credible load rejection events; </w:t>
            </w:r>
          </w:p>
          <w:p w14:paraId="5F83EBFE" w14:textId="369DFCA2" w:rsidR="00716E08" w:rsidRPr="00A23B49" w:rsidRDefault="00591C2F" w:rsidP="00F51F16">
            <w:pPr>
              <w:pStyle w:val="Body"/>
              <w:keepNext/>
              <w:numPr>
                <w:ilvl w:val="0"/>
                <w:numId w:val="15"/>
              </w:numPr>
              <w:spacing w:after="60" w:line="240" w:lineRule="auto"/>
              <w:ind w:left="342" w:hanging="342"/>
              <w:rPr>
                <w:rFonts w:ascii="Lato" w:hAnsi="Lato" w:cs="Arial"/>
                <w:i/>
                <w:sz w:val="22"/>
                <w:szCs w:val="22"/>
              </w:rPr>
            </w:pPr>
            <w:proofErr w:type="gramStart"/>
            <w:r w:rsidRPr="00A23B49">
              <w:rPr>
                <w:rFonts w:asciiTheme="minorHAnsi" w:hAnsiTheme="minorHAnsi" w:cs="Arial"/>
                <w:i/>
                <w:sz w:val="22"/>
                <w:szCs w:val="22"/>
              </w:rPr>
              <w:t>may</w:t>
            </w:r>
            <w:proofErr w:type="gramEnd"/>
            <w:r w:rsidRPr="00A23B49">
              <w:rPr>
                <w:rFonts w:asciiTheme="minorHAnsi" w:hAnsiTheme="minorHAnsi" w:cs="Arial"/>
                <w:i/>
                <w:sz w:val="22"/>
                <w:szCs w:val="22"/>
              </w:rPr>
              <w:t xml:space="preserve"> be relaxed by up to 25% by System Management where it considers that the probability of transmission faults is low.</w:t>
            </w:r>
          </w:p>
        </w:tc>
      </w:tr>
    </w:tbl>
    <w:p w14:paraId="369398A4" w14:textId="730719F0" w:rsidR="00716E08" w:rsidRPr="00FB2629" w:rsidRDefault="00591C2F" w:rsidP="00CB560D">
      <w:pPr>
        <w:rPr>
          <w:rFonts w:asciiTheme="minorHAnsi" w:hAnsiTheme="minorHAnsi" w:cs="Arial"/>
          <w:sz w:val="18"/>
          <w:szCs w:val="18"/>
        </w:rPr>
      </w:pPr>
      <w:r w:rsidRPr="00FB2629">
        <w:rPr>
          <w:rFonts w:asciiTheme="minorHAnsi" w:hAnsiTheme="minorHAnsi" w:cs="Arial"/>
          <w:i/>
          <w:sz w:val="18"/>
          <w:szCs w:val="18"/>
        </w:rPr>
        <w:t>Source:</w:t>
      </w:r>
      <w:r w:rsidRPr="00FB2629">
        <w:rPr>
          <w:rFonts w:asciiTheme="minorHAnsi" w:hAnsiTheme="minorHAnsi" w:cs="Arial"/>
          <w:sz w:val="18"/>
          <w:szCs w:val="18"/>
        </w:rPr>
        <w:t xml:space="preserve"> Wholesale Electricity Market Rules, 1 December 2020, s. 3.10.</w:t>
      </w:r>
    </w:p>
    <w:p w14:paraId="716C8CD1" w14:textId="57692E27" w:rsidR="00FD0815" w:rsidRPr="00A11265" w:rsidRDefault="00CB560D" w:rsidP="009A3D00">
      <w:pPr>
        <w:rPr>
          <w:rFonts w:asciiTheme="minorHAnsi" w:hAnsiTheme="minorHAnsi" w:cs="Arial"/>
        </w:rPr>
      </w:pPr>
      <w:r w:rsidRPr="00A11265">
        <w:rPr>
          <w:rFonts w:asciiTheme="minorHAnsi" w:hAnsiTheme="minorHAnsi" w:cs="Arial"/>
        </w:rPr>
        <w:t>In the NEM,</w:t>
      </w:r>
      <w:r w:rsidR="00716E08" w:rsidRPr="00A11265">
        <w:rPr>
          <w:rFonts w:asciiTheme="minorHAnsi" w:hAnsiTheme="minorHAnsi" w:cs="Arial"/>
        </w:rPr>
        <w:t xml:space="preserve"> service standards are not specified in regulatory instruments. However,</w:t>
      </w:r>
      <w:r w:rsidR="00772124" w:rsidRPr="00A11265">
        <w:rPr>
          <w:rFonts w:asciiTheme="minorHAnsi" w:hAnsiTheme="minorHAnsi" w:cs="Arial"/>
        </w:rPr>
        <w:t xml:space="preserve"> </w:t>
      </w:r>
      <w:r w:rsidRPr="00A11265">
        <w:rPr>
          <w:rFonts w:asciiTheme="minorHAnsi" w:hAnsiTheme="minorHAnsi" w:cs="Arial"/>
        </w:rPr>
        <w:t>the Reliability Panel determines a System Restart Standard which sets out the requirements that are to be met by</w:t>
      </w:r>
      <w:r w:rsidR="00DF3424" w:rsidRPr="00A11265">
        <w:rPr>
          <w:rFonts w:asciiTheme="minorHAnsi" w:hAnsiTheme="minorHAnsi" w:cs="Arial"/>
        </w:rPr>
        <w:t xml:space="preserve"> the Australian Energy Market Operator</w:t>
      </w:r>
      <w:r w:rsidRPr="00A11265">
        <w:rPr>
          <w:rFonts w:asciiTheme="minorHAnsi" w:hAnsiTheme="minorHAnsi" w:cs="Arial"/>
        </w:rPr>
        <w:t xml:space="preserve"> </w:t>
      </w:r>
      <w:r w:rsidR="00DF3424" w:rsidRPr="00A11265">
        <w:rPr>
          <w:rFonts w:asciiTheme="minorHAnsi" w:hAnsiTheme="minorHAnsi" w:cs="Arial"/>
        </w:rPr>
        <w:t>(</w:t>
      </w:r>
      <w:r w:rsidRPr="00A11265">
        <w:rPr>
          <w:rFonts w:asciiTheme="minorHAnsi" w:hAnsiTheme="minorHAnsi" w:cs="Arial"/>
        </w:rPr>
        <w:t>AEMO</w:t>
      </w:r>
      <w:r w:rsidR="00DF3424" w:rsidRPr="00A11265">
        <w:rPr>
          <w:rFonts w:asciiTheme="minorHAnsi" w:hAnsiTheme="minorHAnsi" w:cs="Arial"/>
        </w:rPr>
        <w:t>)</w:t>
      </w:r>
      <w:r w:rsidRPr="00A11265">
        <w:rPr>
          <w:rFonts w:asciiTheme="minorHAnsi" w:hAnsiTheme="minorHAnsi" w:cs="Arial"/>
        </w:rPr>
        <w:t xml:space="preserve"> in acquiring sufficient System Restart </w:t>
      </w:r>
      <w:r w:rsidR="00462D03" w:rsidRPr="00A11265">
        <w:rPr>
          <w:rFonts w:asciiTheme="minorHAnsi" w:hAnsiTheme="minorHAnsi" w:cs="Arial"/>
        </w:rPr>
        <w:t>essential system service</w:t>
      </w:r>
      <w:r w:rsidRPr="00A11265">
        <w:rPr>
          <w:rFonts w:asciiTheme="minorHAnsi" w:hAnsiTheme="minorHAnsi" w:cs="Arial"/>
        </w:rPr>
        <w:t>.</w:t>
      </w:r>
      <w:r w:rsidR="00FD0815" w:rsidRPr="00A11265">
        <w:rPr>
          <w:rFonts w:asciiTheme="minorHAnsi" w:hAnsiTheme="minorHAnsi" w:cs="Arial"/>
        </w:rPr>
        <w:t xml:space="preserve"> The current standard requires AEMO to procure sufficient system restart ancillary services to:</w:t>
      </w:r>
    </w:p>
    <w:p w14:paraId="0DF864AB" w14:textId="4863CBA8" w:rsidR="00FD0815" w:rsidRPr="00A11265" w:rsidRDefault="00FD0815" w:rsidP="001F613E">
      <w:pPr>
        <w:pStyle w:val="ListParagraph"/>
        <w:numPr>
          <w:ilvl w:val="0"/>
          <w:numId w:val="11"/>
        </w:numPr>
        <w:spacing w:before="200"/>
        <w:ind w:left="426"/>
        <w:rPr>
          <w:rFonts w:cs="Arial"/>
        </w:rPr>
      </w:pPr>
      <w:r w:rsidRPr="00A11265">
        <w:rPr>
          <w:rFonts w:cs="Arial"/>
        </w:rPr>
        <w:t xml:space="preserve">re-supply and energise the auxiliaries of power stations within 1.5 hours of a major supply disruption occurring to provide sufficient capacity to meet 40 per cent of peak demand in that sub-network; and </w:t>
      </w:r>
    </w:p>
    <w:p w14:paraId="18F5E102" w14:textId="566579A4" w:rsidR="00FD0815" w:rsidRPr="00A11265" w:rsidRDefault="00FD0815" w:rsidP="001F613E">
      <w:pPr>
        <w:pStyle w:val="ListParagraph"/>
        <w:numPr>
          <w:ilvl w:val="0"/>
          <w:numId w:val="11"/>
        </w:numPr>
        <w:spacing w:before="200"/>
        <w:ind w:left="426"/>
        <w:rPr>
          <w:rFonts w:cs="Arial"/>
        </w:rPr>
      </w:pPr>
      <w:proofErr w:type="gramStart"/>
      <w:r w:rsidRPr="00A11265">
        <w:rPr>
          <w:rFonts w:cs="Arial"/>
        </w:rPr>
        <w:t>restore</w:t>
      </w:r>
      <w:proofErr w:type="gramEnd"/>
      <w:r w:rsidRPr="00A11265">
        <w:rPr>
          <w:rFonts w:cs="Arial"/>
        </w:rPr>
        <w:t xml:space="preserve"> generation and transmission such that 40 per cent of peak demand in that sub-network could be supplied within four hours of a major supply disruption occurring.</w:t>
      </w:r>
    </w:p>
    <w:p w14:paraId="310E7058" w14:textId="6CE8F895" w:rsidR="006E2749" w:rsidRPr="0087555D" w:rsidRDefault="00591C2F" w:rsidP="00CB560D">
      <w:pPr>
        <w:rPr>
          <w:rFonts w:asciiTheme="minorHAnsi" w:hAnsiTheme="minorHAnsi" w:cs="Arial"/>
        </w:rPr>
      </w:pPr>
      <w:r w:rsidRPr="00A11265">
        <w:rPr>
          <w:rFonts w:asciiTheme="minorHAnsi" w:hAnsiTheme="minorHAnsi" w:cs="Arial"/>
        </w:rPr>
        <w:t>C</w:t>
      </w:r>
      <w:r w:rsidR="00B55951" w:rsidRPr="00A11265">
        <w:rPr>
          <w:rFonts w:asciiTheme="minorHAnsi" w:hAnsiTheme="minorHAnsi" w:cs="Arial"/>
        </w:rPr>
        <w:t xml:space="preserve">odification of service standards in regulatory </w:t>
      </w:r>
      <w:r w:rsidR="00E7021F" w:rsidRPr="00A11265">
        <w:rPr>
          <w:rFonts w:asciiTheme="minorHAnsi" w:hAnsiTheme="minorHAnsi" w:cs="Arial"/>
        </w:rPr>
        <w:t>instruments</w:t>
      </w:r>
      <w:r w:rsidRPr="00A11265">
        <w:rPr>
          <w:rFonts w:asciiTheme="minorHAnsi" w:hAnsiTheme="minorHAnsi" w:cs="Arial"/>
        </w:rPr>
        <w:t xml:space="preserve"> can</w:t>
      </w:r>
      <w:r w:rsidR="00E7021F" w:rsidRPr="00A11265">
        <w:rPr>
          <w:rFonts w:asciiTheme="minorHAnsi" w:hAnsiTheme="minorHAnsi" w:cs="Arial"/>
        </w:rPr>
        <w:t xml:space="preserve"> introduce inflexibility in</w:t>
      </w:r>
      <w:r w:rsidRPr="00A11265">
        <w:rPr>
          <w:rFonts w:asciiTheme="minorHAnsi" w:hAnsiTheme="minorHAnsi" w:cs="Arial"/>
        </w:rPr>
        <w:t xml:space="preserve"> service</w:t>
      </w:r>
      <w:r w:rsidR="00E7021F" w:rsidRPr="00A11265">
        <w:rPr>
          <w:rFonts w:asciiTheme="minorHAnsi" w:hAnsiTheme="minorHAnsi" w:cs="Arial"/>
        </w:rPr>
        <w:t xml:space="preserve"> provision, particularly if the conditions in the system are changing. </w:t>
      </w:r>
      <w:r w:rsidR="00630F2B" w:rsidRPr="00A11265">
        <w:rPr>
          <w:rFonts w:asciiTheme="minorHAnsi" w:hAnsiTheme="minorHAnsi" w:cs="Arial"/>
        </w:rPr>
        <w:t xml:space="preserve">Requirements for services are likely to change based on system constraints, generation mix, load growth and other factors. An ongoing review process is likely to be required to ensure the specified </w:t>
      </w:r>
      <w:r w:rsidR="00462D03" w:rsidRPr="00A11265">
        <w:rPr>
          <w:rFonts w:asciiTheme="minorHAnsi" w:hAnsiTheme="minorHAnsi" w:cs="Arial"/>
        </w:rPr>
        <w:t>quantity</w:t>
      </w:r>
      <w:r w:rsidR="00630F2B" w:rsidRPr="00A11265">
        <w:rPr>
          <w:rFonts w:asciiTheme="minorHAnsi" w:hAnsiTheme="minorHAnsi" w:cs="Arial"/>
        </w:rPr>
        <w:t xml:space="preserve"> requirements for essential system services continue to be appropriate for the </w:t>
      </w:r>
      <w:r w:rsidR="00E7021F" w:rsidRPr="00A11265">
        <w:rPr>
          <w:rFonts w:asciiTheme="minorHAnsi" w:hAnsiTheme="minorHAnsi" w:cs="Arial"/>
        </w:rPr>
        <w:t xml:space="preserve">NT regulated </w:t>
      </w:r>
      <w:r w:rsidR="00630F2B" w:rsidRPr="00A11265">
        <w:rPr>
          <w:rFonts w:asciiTheme="minorHAnsi" w:hAnsiTheme="minorHAnsi" w:cs="Arial"/>
        </w:rPr>
        <w:t>system</w:t>
      </w:r>
      <w:r w:rsidR="00462D03" w:rsidRPr="00A11265">
        <w:rPr>
          <w:rFonts w:asciiTheme="minorHAnsi" w:hAnsiTheme="minorHAnsi" w:cs="Arial"/>
        </w:rPr>
        <w:t>s</w:t>
      </w:r>
      <w:r w:rsidR="00630F2B" w:rsidRPr="00A11265">
        <w:rPr>
          <w:rFonts w:asciiTheme="minorHAnsi" w:hAnsiTheme="minorHAnsi" w:cs="Arial"/>
        </w:rPr>
        <w:t xml:space="preserve"> going </w:t>
      </w:r>
      <w:r w:rsidR="00630F2B" w:rsidRPr="0087555D">
        <w:rPr>
          <w:rFonts w:asciiTheme="minorHAnsi" w:hAnsiTheme="minorHAnsi" w:cs="Arial"/>
        </w:rPr>
        <w:t>forward.</w:t>
      </w:r>
    </w:p>
    <w:p w14:paraId="7CB63DDF" w14:textId="34C8F7B9" w:rsidR="00CB560D" w:rsidRPr="00A11265" w:rsidRDefault="00CB560D" w:rsidP="00A23B49">
      <w:pPr>
        <w:pStyle w:val="Heading3"/>
        <w:keepNext/>
        <w:rPr>
          <w:szCs w:val="24"/>
          <w:lang w:eastAsia="en-AU"/>
        </w:rPr>
      </w:pPr>
      <w:r w:rsidRPr="00A11265">
        <w:rPr>
          <w:szCs w:val="24"/>
          <w:lang w:eastAsia="en-AU"/>
        </w:rPr>
        <w:t>Transparency and oversight</w:t>
      </w:r>
    </w:p>
    <w:p w14:paraId="56DEE024" w14:textId="45101D36" w:rsidR="00CB560D" w:rsidRPr="00A11265" w:rsidRDefault="00CB560D" w:rsidP="00CB560D">
      <w:pPr>
        <w:rPr>
          <w:rFonts w:asciiTheme="minorHAnsi" w:hAnsiTheme="minorHAnsi" w:cs="Arial"/>
        </w:rPr>
      </w:pPr>
      <w:r w:rsidRPr="00A11265">
        <w:rPr>
          <w:rFonts w:asciiTheme="minorHAnsi" w:hAnsiTheme="minorHAnsi" w:cs="Arial"/>
        </w:rPr>
        <w:t xml:space="preserve">In the NEM, the </w:t>
      </w:r>
      <w:r w:rsidR="00401755" w:rsidRPr="00A11265">
        <w:rPr>
          <w:rFonts w:asciiTheme="minorHAnsi" w:hAnsiTheme="minorHAnsi" w:cs="Arial"/>
        </w:rPr>
        <w:t>National Electricity Rules</w:t>
      </w:r>
      <w:r w:rsidRPr="00A11265">
        <w:rPr>
          <w:rFonts w:asciiTheme="minorHAnsi" w:hAnsiTheme="minorHAnsi" w:cs="Arial"/>
        </w:rPr>
        <w:t xml:space="preserve"> require that:</w:t>
      </w:r>
      <w:r w:rsidR="000933B1" w:rsidRPr="00A11265">
        <w:rPr>
          <w:rStyle w:val="FootnoteReference"/>
          <w:rFonts w:asciiTheme="minorHAnsi" w:hAnsiTheme="minorHAnsi" w:cs="Arial"/>
        </w:rPr>
        <w:footnoteReference w:id="29"/>
      </w:r>
    </w:p>
    <w:p w14:paraId="3F49B180" w14:textId="65C92853" w:rsidR="00CB560D" w:rsidRPr="00A11265" w:rsidRDefault="00CB560D" w:rsidP="001F613E">
      <w:pPr>
        <w:pStyle w:val="ListParagraph"/>
        <w:numPr>
          <w:ilvl w:val="0"/>
          <w:numId w:val="11"/>
        </w:numPr>
        <w:spacing w:before="200"/>
        <w:ind w:left="426"/>
        <w:rPr>
          <w:rFonts w:cs="Arial"/>
        </w:rPr>
      </w:pPr>
      <w:r w:rsidRPr="00A11265">
        <w:rPr>
          <w:rFonts w:cs="Arial"/>
        </w:rPr>
        <w:t xml:space="preserve">the </w:t>
      </w:r>
      <w:r w:rsidR="00DF3424" w:rsidRPr="00A11265">
        <w:rPr>
          <w:rFonts w:cs="Arial"/>
        </w:rPr>
        <w:t xml:space="preserve">Australian Energy </w:t>
      </w:r>
      <w:r w:rsidR="00901D6D">
        <w:rPr>
          <w:rFonts w:cs="Arial"/>
        </w:rPr>
        <w:t xml:space="preserve">Regulator </w:t>
      </w:r>
      <w:r w:rsidRPr="00A11265">
        <w:rPr>
          <w:rFonts w:cs="Arial"/>
        </w:rPr>
        <w:t>publishes quarterly reports on the volume and cost of Market Ancillary Services dispatched by</w:t>
      </w:r>
      <w:r w:rsidR="00E51C4F" w:rsidRPr="00A11265">
        <w:rPr>
          <w:rFonts w:cs="Arial"/>
        </w:rPr>
        <w:t xml:space="preserve"> </w:t>
      </w:r>
      <w:r w:rsidRPr="00A11265">
        <w:rPr>
          <w:rFonts w:cs="Arial"/>
        </w:rPr>
        <w:t>AEMO</w:t>
      </w:r>
    </w:p>
    <w:p w14:paraId="092B4EF9" w14:textId="3EE484B6" w:rsidR="00CB560D" w:rsidRPr="00A11265" w:rsidRDefault="00CB560D" w:rsidP="001F613E">
      <w:pPr>
        <w:pStyle w:val="ListParagraph"/>
        <w:numPr>
          <w:ilvl w:val="0"/>
          <w:numId w:val="11"/>
        </w:numPr>
        <w:spacing w:before="200"/>
        <w:ind w:left="426"/>
        <w:rPr>
          <w:rFonts w:cs="Arial"/>
        </w:rPr>
      </w:pPr>
      <w:r w:rsidRPr="00A11265">
        <w:rPr>
          <w:rFonts w:cs="Arial"/>
        </w:rPr>
        <w:lastRenderedPageBreak/>
        <w:t>AEMO publishes the total estimated annual costs and quantities of each type of Network Support and Control Ancillary Service acquired by it under ancillary services agreements</w:t>
      </w:r>
    </w:p>
    <w:p w14:paraId="5D816745" w14:textId="77777777" w:rsidR="00CB560D" w:rsidRPr="00A11265" w:rsidRDefault="00CB560D" w:rsidP="001F613E">
      <w:pPr>
        <w:pStyle w:val="ListParagraph"/>
        <w:numPr>
          <w:ilvl w:val="0"/>
          <w:numId w:val="11"/>
        </w:numPr>
        <w:spacing w:before="200"/>
        <w:ind w:left="426"/>
        <w:rPr>
          <w:rFonts w:cs="Arial"/>
        </w:rPr>
      </w:pPr>
      <w:proofErr w:type="gramStart"/>
      <w:r w:rsidRPr="00A11265">
        <w:rPr>
          <w:rFonts w:cs="Arial"/>
        </w:rPr>
        <w:t>at</w:t>
      </w:r>
      <w:proofErr w:type="gramEnd"/>
      <w:r w:rsidRPr="00A11265">
        <w:rPr>
          <w:rFonts w:cs="Arial"/>
        </w:rPr>
        <w:t xml:space="preserve"> least once each year, AEMO prepares and publishes a report detailing the total estimated annual cost for the provision of System Restart Ancillary Service, broken down by charges for availability and use.</w:t>
      </w:r>
    </w:p>
    <w:p w14:paraId="4863A07A" w14:textId="3E1C59A1" w:rsidR="00CB560D" w:rsidRPr="00A11265" w:rsidRDefault="00CB560D" w:rsidP="00CB560D">
      <w:pPr>
        <w:rPr>
          <w:rFonts w:asciiTheme="minorHAnsi" w:hAnsiTheme="minorHAnsi" w:cs="Arial"/>
        </w:rPr>
      </w:pPr>
      <w:r w:rsidRPr="00A11265">
        <w:rPr>
          <w:rFonts w:asciiTheme="minorHAnsi" w:hAnsiTheme="minorHAnsi" w:cs="Arial"/>
        </w:rPr>
        <w:t xml:space="preserve">In the WEM, AEMO must submit </w:t>
      </w:r>
      <w:r w:rsidR="00464C55" w:rsidRPr="00A11265">
        <w:rPr>
          <w:rFonts w:asciiTheme="minorHAnsi" w:hAnsiTheme="minorHAnsi" w:cs="Arial"/>
        </w:rPr>
        <w:t>essential system service</w:t>
      </w:r>
      <w:r w:rsidRPr="00A11265">
        <w:rPr>
          <w:rFonts w:asciiTheme="minorHAnsi" w:hAnsiTheme="minorHAnsi" w:cs="Arial"/>
        </w:rPr>
        <w:t xml:space="preserve"> requirements for the coming year to the Economic Regulation Authority for approval. The </w:t>
      </w:r>
      <w:r w:rsidR="00EA4634" w:rsidRPr="00A11265">
        <w:rPr>
          <w:rFonts w:asciiTheme="minorHAnsi" w:hAnsiTheme="minorHAnsi" w:cs="Arial"/>
        </w:rPr>
        <w:t>Economic Regulation Authority</w:t>
      </w:r>
      <w:r w:rsidRPr="00A11265">
        <w:rPr>
          <w:rFonts w:asciiTheme="minorHAnsi" w:hAnsiTheme="minorHAnsi" w:cs="Arial"/>
        </w:rPr>
        <w:t xml:space="preserve"> must audit AEMO’s determination of the </w:t>
      </w:r>
      <w:r w:rsidR="00464C55" w:rsidRPr="00A11265">
        <w:rPr>
          <w:rFonts w:asciiTheme="minorHAnsi" w:hAnsiTheme="minorHAnsi" w:cs="Arial"/>
        </w:rPr>
        <w:t>essential system services</w:t>
      </w:r>
      <w:r w:rsidRPr="00A11265">
        <w:rPr>
          <w:rFonts w:asciiTheme="minorHAnsi" w:hAnsiTheme="minorHAnsi" w:cs="Arial"/>
        </w:rPr>
        <w:t xml:space="preserve"> requirements and may require AEMO to </w:t>
      </w:r>
      <w:proofErr w:type="spellStart"/>
      <w:r w:rsidRPr="00A11265">
        <w:rPr>
          <w:rFonts w:asciiTheme="minorHAnsi" w:hAnsiTheme="minorHAnsi" w:cs="Arial"/>
        </w:rPr>
        <w:t>redetermine</w:t>
      </w:r>
      <w:proofErr w:type="spellEnd"/>
      <w:r w:rsidRPr="00A11265">
        <w:rPr>
          <w:rFonts w:asciiTheme="minorHAnsi" w:hAnsiTheme="minorHAnsi" w:cs="Arial"/>
        </w:rPr>
        <w:t xml:space="preserve"> the requirements.</w:t>
      </w:r>
      <w:r w:rsidRPr="00A11265">
        <w:rPr>
          <w:rFonts w:asciiTheme="minorHAnsi" w:hAnsiTheme="minorHAnsi"/>
          <w:vertAlign w:val="superscript"/>
        </w:rPr>
        <w:footnoteReference w:id="30"/>
      </w:r>
    </w:p>
    <w:p w14:paraId="7D9B3B7D" w14:textId="2FA7DBD1" w:rsidR="00563BE0" w:rsidRPr="00A11265" w:rsidRDefault="00563BE0" w:rsidP="00563BE0">
      <w:pPr>
        <w:pStyle w:val="Heading2"/>
        <w:keepNext/>
        <w:rPr>
          <w:lang w:eastAsia="en-AU"/>
        </w:rPr>
      </w:pPr>
      <w:bookmarkStart w:id="162" w:name="_Toc61852389"/>
      <w:bookmarkStart w:id="163" w:name="_Toc61956197"/>
      <w:bookmarkEnd w:id="162"/>
      <w:r w:rsidRPr="00A11265">
        <w:rPr>
          <w:lang w:eastAsia="en-AU"/>
        </w:rPr>
        <w:t>Draft position</w:t>
      </w:r>
      <w:bookmarkEnd w:id="163"/>
    </w:p>
    <w:p w14:paraId="6EF39DAA" w14:textId="77777777" w:rsidR="00B87AEA" w:rsidRPr="00A11265" w:rsidRDefault="00B87AEA" w:rsidP="00B87AEA">
      <w:pPr>
        <w:rPr>
          <w:rFonts w:asciiTheme="minorHAnsi" w:hAnsiTheme="minorHAnsi" w:cs="Arial"/>
        </w:rPr>
      </w:pPr>
      <w:r w:rsidRPr="00A11265">
        <w:rPr>
          <w:rFonts w:asciiTheme="minorHAnsi" w:hAnsiTheme="minorHAnsi" w:cs="Arial"/>
        </w:rPr>
        <w:t>The amounts of essential system services procured and dispatched have a direct bearing on the resulting security of the system and electricity supply costs.</w:t>
      </w:r>
    </w:p>
    <w:p w14:paraId="12F4836A" w14:textId="0B7BD3A2" w:rsidR="00B87AEA" w:rsidRPr="00A11265" w:rsidRDefault="00B87AEA" w:rsidP="00B87AEA">
      <w:pPr>
        <w:rPr>
          <w:rFonts w:asciiTheme="minorHAnsi" w:hAnsiTheme="minorHAnsi" w:cs="Arial"/>
        </w:rPr>
      </w:pPr>
      <w:r w:rsidRPr="00A11265">
        <w:rPr>
          <w:rFonts w:asciiTheme="minorHAnsi" w:hAnsiTheme="minorHAnsi" w:cs="Arial"/>
        </w:rPr>
        <w:t>Given the importance of service requirement forecasts to overall costs, and the scope for contention and disagreement regarding essential system service requirements, there would be benefit from introducing transparency and oversight arrangements for the determination of service requirements on the NT regulated systems.</w:t>
      </w:r>
    </w:p>
    <w:p w14:paraId="49622856" w14:textId="2E33A8E6" w:rsidR="00B87AEA" w:rsidRPr="00A11265" w:rsidRDefault="00B87AEA" w:rsidP="00B87AEA">
      <w:pPr>
        <w:rPr>
          <w:rFonts w:asciiTheme="minorHAnsi" w:hAnsiTheme="minorHAnsi" w:cs="Arial"/>
        </w:rPr>
      </w:pPr>
      <w:r w:rsidRPr="00A11265">
        <w:rPr>
          <w:rFonts w:asciiTheme="minorHAnsi" w:hAnsiTheme="minorHAnsi" w:cs="Arial"/>
        </w:rPr>
        <w:t>A process should be codified for the annual review and determination of the amounts of essential system services to be procured by the System Controller to ensure the levels remain appropriate given changing power system needs.</w:t>
      </w:r>
    </w:p>
    <w:p w14:paraId="55B2593C" w14:textId="77777777" w:rsidR="00B87AEA" w:rsidRPr="00A11265" w:rsidRDefault="00B87AEA" w:rsidP="00B87AEA">
      <w:pPr>
        <w:rPr>
          <w:rFonts w:asciiTheme="minorHAnsi" w:hAnsiTheme="minorHAnsi" w:cs="Arial"/>
        </w:rPr>
      </w:pPr>
      <w:r w:rsidRPr="00A11265">
        <w:rPr>
          <w:rFonts w:asciiTheme="minorHAnsi" w:hAnsiTheme="minorHAnsi" w:cs="Arial"/>
        </w:rPr>
        <w:t>This process should involve the System Controller preparing, on an annual basis for the coming financial year, an Essential System Services Plan setting out:</w:t>
      </w:r>
    </w:p>
    <w:p w14:paraId="7879E404" w14:textId="652DAC2D" w:rsidR="00B20952" w:rsidRDefault="00B20952" w:rsidP="00074521">
      <w:pPr>
        <w:pStyle w:val="ListParagraph"/>
        <w:numPr>
          <w:ilvl w:val="0"/>
          <w:numId w:val="11"/>
        </w:numPr>
        <w:spacing w:after="200"/>
        <w:ind w:left="425" w:hanging="357"/>
        <w:rPr>
          <w:rFonts w:asciiTheme="minorHAnsi" w:hAnsiTheme="minorHAnsi" w:cs="Arial"/>
        </w:rPr>
      </w:pPr>
      <w:r w:rsidRPr="002244F8">
        <w:rPr>
          <w:rFonts w:asciiTheme="minorHAnsi" w:hAnsiTheme="minorHAnsi" w:cs="Arial"/>
        </w:rPr>
        <w:t xml:space="preserve">updated </w:t>
      </w:r>
      <w:r>
        <w:rPr>
          <w:rFonts w:asciiTheme="minorHAnsi" w:hAnsiTheme="minorHAnsi" w:cs="Arial"/>
        </w:rPr>
        <w:t>e</w:t>
      </w:r>
      <w:r w:rsidRPr="002244F8">
        <w:rPr>
          <w:rFonts w:asciiTheme="minorHAnsi" w:hAnsiTheme="minorHAnsi" w:cs="Arial"/>
        </w:rPr>
        <w:t>ssential system service standards</w:t>
      </w:r>
      <w:r>
        <w:rPr>
          <w:rFonts w:asciiTheme="minorHAnsi" w:hAnsiTheme="minorHAnsi" w:cs="Arial"/>
        </w:rPr>
        <w:t xml:space="preserve"> for each of the NT regulated systems, </w:t>
      </w:r>
      <w:r w:rsidRPr="00405D39">
        <w:rPr>
          <w:rFonts w:asciiTheme="minorHAnsi" w:hAnsiTheme="minorHAnsi" w:cs="Arial"/>
        </w:rPr>
        <w:t>supported by an evidence-based methodology</w:t>
      </w:r>
    </w:p>
    <w:p w14:paraId="7D3FF6A4" w14:textId="0EE34F0F" w:rsidR="00B20952" w:rsidRDefault="00B20952" w:rsidP="00B20952">
      <w:pPr>
        <w:pStyle w:val="ListParagraph"/>
        <w:numPr>
          <w:ilvl w:val="0"/>
          <w:numId w:val="11"/>
        </w:numPr>
        <w:spacing w:after="200"/>
        <w:ind w:left="425" w:hanging="357"/>
        <w:rPr>
          <w:rFonts w:asciiTheme="minorHAnsi" w:hAnsiTheme="minorHAnsi" w:cs="Arial"/>
        </w:rPr>
      </w:pPr>
      <w:r w:rsidRPr="002244F8">
        <w:rPr>
          <w:rFonts w:asciiTheme="minorHAnsi" w:hAnsiTheme="minorHAnsi" w:cs="Arial"/>
        </w:rPr>
        <w:t xml:space="preserve">forecast requirements to meet </w:t>
      </w:r>
      <w:r w:rsidRPr="00405D39">
        <w:rPr>
          <w:rFonts w:asciiTheme="minorHAnsi" w:hAnsiTheme="minorHAnsi" w:cs="Arial"/>
        </w:rPr>
        <w:t>the service standards</w:t>
      </w:r>
    </w:p>
    <w:p w14:paraId="0F758FF4" w14:textId="494528ED" w:rsidR="00B87AEA" w:rsidRPr="00A11265" w:rsidRDefault="00B87AEA" w:rsidP="00B20952">
      <w:pPr>
        <w:pStyle w:val="ListParagraph"/>
        <w:numPr>
          <w:ilvl w:val="0"/>
          <w:numId w:val="11"/>
        </w:numPr>
        <w:spacing w:after="200"/>
        <w:ind w:left="425" w:hanging="357"/>
        <w:rPr>
          <w:rFonts w:asciiTheme="minorHAnsi" w:hAnsiTheme="minorHAnsi" w:cs="Arial"/>
        </w:rPr>
      </w:pPr>
      <w:r w:rsidRPr="00A11265">
        <w:rPr>
          <w:rFonts w:asciiTheme="minorHAnsi" w:hAnsiTheme="minorHAnsi" w:cs="Arial"/>
        </w:rPr>
        <w:t>how the System Controller will procure the required essential system services</w:t>
      </w:r>
    </w:p>
    <w:p w14:paraId="2C20438E" w14:textId="77777777" w:rsidR="00B87AEA" w:rsidRPr="00A11265" w:rsidRDefault="00B87AEA" w:rsidP="00F51F16">
      <w:pPr>
        <w:pStyle w:val="ListParagraph"/>
        <w:numPr>
          <w:ilvl w:val="0"/>
          <w:numId w:val="11"/>
        </w:numPr>
        <w:spacing w:after="200"/>
        <w:ind w:left="425" w:hanging="357"/>
        <w:rPr>
          <w:rFonts w:asciiTheme="minorHAnsi" w:hAnsiTheme="minorHAnsi" w:cs="Arial"/>
        </w:rPr>
      </w:pPr>
      <w:proofErr w:type="gramStart"/>
      <w:r w:rsidRPr="00A11265">
        <w:rPr>
          <w:rFonts w:asciiTheme="minorHAnsi" w:hAnsiTheme="minorHAnsi" w:cs="Arial"/>
        </w:rPr>
        <w:t>a</w:t>
      </w:r>
      <w:proofErr w:type="gramEnd"/>
      <w:r w:rsidRPr="00A11265">
        <w:rPr>
          <w:rFonts w:asciiTheme="minorHAnsi" w:hAnsiTheme="minorHAnsi" w:cs="Arial"/>
        </w:rPr>
        <w:t xml:space="preserve"> budget for the procurement of the required essential system services.</w:t>
      </w:r>
    </w:p>
    <w:p w14:paraId="6CCC761A" w14:textId="1C91F0D6" w:rsidR="00B87AEA" w:rsidRPr="00A11265" w:rsidRDefault="00B87AEA" w:rsidP="00B87AEA">
      <w:pPr>
        <w:rPr>
          <w:rFonts w:asciiTheme="minorHAnsi" w:hAnsiTheme="minorHAnsi" w:cs="Arial"/>
        </w:rPr>
      </w:pPr>
      <w:r w:rsidRPr="00A11265">
        <w:rPr>
          <w:rFonts w:asciiTheme="minorHAnsi" w:hAnsiTheme="minorHAnsi" w:cs="Arial"/>
        </w:rPr>
        <w:t xml:space="preserve">Enactment of the Essential System Services Plan should be subject to approval </w:t>
      </w:r>
      <w:r w:rsidR="00817C12" w:rsidRPr="00A11265">
        <w:rPr>
          <w:rFonts w:asciiTheme="minorHAnsi" w:hAnsiTheme="minorHAnsi" w:cs="Arial"/>
        </w:rPr>
        <w:t>or redetermination by</w:t>
      </w:r>
      <w:r w:rsidRPr="00A11265">
        <w:rPr>
          <w:rFonts w:asciiTheme="minorHAnsi" w:hAnsiTheme="minorHAnsi" w:cs="Arial"/>
        </w:rPr>
        <w:t xml:space="preserve"> the Utilities Commission</w:t>
      </w:r>
      <w:r w:rsidR="00817C12" w:rsidRPr="00A11265">
        <w:rPr>
          <w:rFonts w:asciiTheme="minorHAnsi" w:hAnsiTheme="minorHAnsi" w:cs="Arial"/>
        </w:rPr>
        <w:t>.</w:t>
      </w:r>
    </w:p>
    <w:p w14:paraId="1A065300" w14:textId="2DA538DD" w:rsidR="00CB560D" w:rsidRPr="005164DD" w:rsidRDefault="00B87AEA" w:rsidP="00CB560D">
      <w:pPr>
        <w:rPr>
          <w:rFonts w:asciiTheme="minorHAnsi" w:hAnsiTheme="minorHAnsi" w:cs="Arial"/>
        </w:rPr>
      </w:pPr>
      <w:r w:rsidRPr="00A11265">
        <w:rPr>
          <w:rFonts w:asciiTheme="minorHAnsi" w:hAnsiTheme="minorHAnsi" w:cs="Arial"/>
        </w:rPr>
        <w:t>Where the System Controller identifies that a material deficiency in service requirements against the Essential System Services Plan is likely to occur before the next annual Plan, the System Controller should be permitted to reassess the essential system service standards, requirements and budget with the approv</w:t>
      </w:r>
      <w:r w:rsidR="005164DD">
        <w:rPr>
          <w:rFonts w:asciiTheme="minorHAnsi" w:hAnsiTheme="minorHAnsi" w:cs="Arial"/>
        </w:rPr>
        <w:t>al of the Utilities Commission.</w:t>
      </w:r>
      <w:r w:rsidR="00CB560D" w:rsidRPr="00A11265">
        <w:rPr>
          <w:rFonts w:ascii="Arial" w:hAnsi="Arial" w:cs="Arial"/>
        </w:rPr>
        <w:br w:type="page"/>
      </w:r>
    </w:p>
    <w:p w14:paraId="7FAAEDF4" w14:textId="7FF11067" w:rsidR="00CB560D" w:rsidRPr="00A11265" w:rsidRDefault="00CB560D" w:rsidP="00CB560D">
      <w:pPr>
        <w:pStyle w:val="Heading1"/>
        <w:rPr>
          <w:lang w:eastAsia="en-AU"/>
        </w:rPr>
      </w:pPr>
      <w:bookmarkStart w:id="164" w:name="_Toc61956198"/>
      <w:r w:rsidRPr="00A11265">
        <w:rPr>
          <w:lang w:eastAsia="en-AU"/>
        </w:rPr>
        <w:lastRenderedPageBreak/>
        <w:t xml:space="preserve">Service </w:t>
      </w:r>
      <w:r w:rsidR="00146454" w:rsidRPr="00A11265">
        <w:rPr>
          <w:lang w:eastAsia="en-AU"/>
        </w:rPr>
        <w:t>p</w:t>
      </w:r>
      <w:r w:rsidRPr="00A11265">
        <w:rPr>
          <w:lang w:eastAsia="en-AU"/>
        </w:rPr>
        <w:t xml:space="preserve">rovision </w:t>
      </w:r>
      <w:r w:rsidR="00146454" w:rsidRPr="00A11265">
        <w:rPr>
          <w:lang w:eastAsia="en-AU"/>
        </w:rPr>
        <w:t>f</w:t>
      </w:r>
      <w:r w:rsidRPr="00A11265">
        <w:rPr>
          <w:lang w:eastAsia="en-AU"/>
        </w:rPr>
        <w:t>ramework</w:t>
      </w:r>
      <w:bookmarkEnd w:id="164"/>
      <w:r w:rsidRPr="00A11265">
        <w:rPr>
          <w:lang w:eastAsia="en-AU"/>
        </w:rPr>
        <w:t xml:space="preserve"> </w:t>
      </w:r>
    </w:p>
    <w:p w14:paraId="5C97EBD9" w14:textId="415C9B36" w:rsidR="008811BA" w:rsidRPr="00A11265" w:rsidRDefault="008811BA" w:rsidP="008811BA">
      <w:pPr>
        <w:rPr>
          <w:rFonts w:asciiTheme="minorHAnsi" w:hAnsiTheme="minorHAnsi" w:cs="Arial"/>
        </w:rPr>
      </w:pPr>
      <w:r w:rsidRPr="00A11265">
        <w:rPr>
          <w:rFonts w:asciiTheme="minorHAnsi" w:hAnsiTheme="minorHAnsi" w:cs="Arial"/>
        </w:rPr>
        <w:t>The service provision framework governs how the System Controller procures the essential system services required to maintain system security.</w:t>
      </w:r>
    </w:p>
    <w:p w14:paraId="00BE4E85" w14:textId="6190A697" w:rsidR="00B66222" w:rsidRPr="00A11265" w:rsidRDefault="00BA3B8D" w:rsidP="00CB560D">
      <w:pPr>
        <w:rPr>
          <w:rFonts w:cs="Arial"/>
        </w:rPr>
      </w:pPr>
      <w:r w:rsidRPr="00A11265">
        <w:rPr>
          <w:rFonts w:cs="Arial"/>
        </w:rPr>
        <w:t>In undertaking its review of essential system services arrangements, the Design Development Team</w:t>
      </w:r>
      <w:r w:rsidR="00172879" w:rsidRPr="00A11265">
        <w:rPr>
          <w:rFonts w:cs="Arial"/>
        </w:rPr>
        <w:t xml:space="preserve">, informed by its </w:t>
      </w:r>
      <w:r w:rsidR="00A53B8D" w:rsidRPr="00A11265">
        <w:rPr>
          <w:rFonts w:cs="Arial"/>
        </w:rPr>
        <w:t>advisers</w:t>
      </w:r>
      <w:r w:rsidR="00D23DFA" w:rsidRPr="00A11265">
        <w:rPr>
          <w:rFonts w:cs="Arial"/>
        </w:rPr>
        <w:t xml:space="preserve"> GHD Advisory and</w:t>
      </w:r>
      <w:r w:rsidR="00172879" w:rsidRPr="00A11265">
        <w:rPr>
          <w:rFonts w:cs="Arial"/>
        </w:rPr>
        <w:t xml:space="preserve"> </w:t>
      </w:r>
      <w:r w:rsidR="001913B5">
        <w:rPr>
          <w:rFonts w:cs="Arial"/>
        </w:rPr>
        <w:t xml:space="preserve">ACIL </w:t>
      </w:r>
      <w:r w:rsidR="00172879" w:rsidRPr="00A11265">
        <w:rPr>
          <w:rFonts w:cs="Arial"/>
        </w:rPr>
        <w:t>Allen,</w:t>
      </w:r>
      <w:r w:rsidRPr="00A11265">
        <w:rPr>
          <w:rFonts w:cs="Arial"/>
        </w:rPr>
        <w:t xml:space="preserve"> has reviewed potential arrangements for the </w:t>
      </w:r>
      <w:r w:rsidR="00FD2D64" w:rsidRPr="00A11265">
        <w:rPr>
          <w:rFonts w:cs="Arial"/>
        </w:rPr>
        <w:t>competitive</w:t>
      </w:r>
      <w:r w:rsidRPr="00A11265">
        <w:rPr>
          <w:rFonts w:cs="Arial"/>
        </w:rPr>
        <w:t xml:space="preserve"> provision of essential system services in the </w:t>
      </w:r>
      <w:r w:rsidR="00FD2D64" w:rsidRPr="00A11265">
        <w:rPr>
          <w:rFonts w:cs="Arial"/>
        </w:rPr>
        <w:t>Northern Territory</w:t>
      </w:r>
      <w:r w:rsidRPr="00A11265">
        <w:rPr>
          <w:rFonts w:cs="Arial"/>
        </w:rPr>
        <w:t>’s regulated systems (Darwin</w:t>
      </w:r>
      <w:r w:rsidR="00F17647">
        <w:rPr>
          <w:rFonts w:cs="Arial"/>
        </w:rPr>
        <w:noBreakHyphen/>
      </w:r>
      <w:r w:rsidRPr="00A11265">
        <w:rPr>
          <w:rFonts w:cs="Arial"/>
        </w:rPr>
        <w:t>Katherine, Alice Springs and Tennant Creek).</w:t>
      </w:r>
    </w:p>
    <w:p w14:paraId="0E5E4F21" w14:textId="609FF74C" w:rsidR="00CB560D" w:rsidRPr="00A11265" w:rsidRDefault="00043938" w:rsidP="00CB560D">
      <w:pPr>
        <w:pStyle w:val="Heading2"/>
        <w:keepNext/>
        <w:rPr>
          <w:lang w:eastAsia="en-AU"/>
        </w:rPr>
      </w:pPr>
      <w:bookmarkStart w:id="165" w:name="_Toc61852392"/>
      <w:bookmarkStart w:id="166" w:name="_Toc61956199"/>
      <w:bookmarkEnd w:id="165"/>
      <w:r w:rsidRPr="00A11265">
        <w:rPr>
          <w:lang w:eastAsia="en-AU"/>
        </w:rPr>
        <w:t>Background</w:t>
      </w:r>
      <w:bookmarkEnd w:id="166"/>
    </w:p>
    <w:p w14:paraId="10F26F6B" w14:textId="77777777" w:rsidR="00BA3B8D" w:rsidRPr="00A11265" w:rsidRDefault="00BA3B8D" w:rsidP="00BA3B8D">
      <w:pPr>
        <w:spacing w:before="200"/>
        <w:rPr>
          <w:rFonts w:cs="Arial"/>
        </w:rPr>
      </w:pPr>
      <w:r w:rsidRPr="00A11265">
        <w:rPr>
          <w:rFonts w:cs="Arial"/>
        </w:rPr>
        <w:t>At a high level, there are three broad potential frameworks for procurement of essential system services:</w:t>
      </w:r>
    </w:p>
    <w:p w14:paraId="3FA910B2" w14:textId="702518E2" w:rsidR="00BA3B8D" w:rsidRPr="00A11265" w:rsidRDefault="00BA3B8D" w:rsidP="001F613E">
      <w:pPr>
        <w:pStyle w:val="ListParagraph"/>
        <w:numPr>
          <w:ilvl w:val="0"/>
          <w:numId w:val="11"/>
        </w:numPr>
        <w:spacing w:before="200"/>
        <w:ind w:left="426"/>
        <w:rPr>
          <w:rFonts w:asciiTheme="minorHAnsi" w:hAnsiTheme="minorHAnsi" w:cs="Arial"/>
        </w:rPr>
      </w:pPr>
      <w:r w:rsidRPr="00A11265">
        <w:rPr>
          <w:rFonts w:asciiTheme="minorHAnsi" w:hAnsiTheme="minorHAnsi" w:cs="Arial"/>
        </w:rPr>
        <w:t>regulation (including regulated tariffs and mandated provision)</w:t>
      </w:r>
    </w:p>
    <w:p w14:paraId="53F258AD" w14:textId="2BAED54C" w:rsidR="00BA3B8D" w:rsidRPr="00A11265" w:rsidRDefault="00BA3B8D" w:rsidP="001F613E">
      <w:pPr>
        <w:pStyle w:val="ListParagraph"/>
        <w:numPr>
          <w:ilvl w:val="0"/>
          <w:numId w:val="11"/>
        </w:numPr>
        <w:spacing w:before="200"/>
        <w:ind w:left="426"/>
        <w:rPr>
          <w:rFonts w:asciiTheme="minorHAnsi" w:hAnsiTheme="minorHAnsi" w:cs="Arial"/>
        </w:rPr>
      </w:pPr>
      <w:r w:rsidRPr="00A11265">
        <w:rPr>
          <w:rFonts w:asciiTheme="minorHAnsi" w:hAnsiTheme="minorHAnsi" w:cs="Arial"/>
        </w:rPr>
        <w:t>bilateral contracts</w:t>
      </w:r>
    </w:p>
    <w:p w14:paraId="1340C0CA" w14:textId="1AA61F3D" w:rsidR="00BA3B8D" w:rsidRPr="00A11265" w:rsidRDefault="00BA3B8D" w:rsidP="001F613E">
      <w:pPr>
        <w:pStyle w:val="ListParagraph"/>
        <w:numPr>
          <w:ilvl w:val="0"/>
          <w:numId w:val="11"/>
        </w:numPr>
        <w:spacing w:before="200"/>
        <w:ind w:left="426"/>
        <w:rPr>
          <w:rFonts w:asciiTheme="minorHAnsi" w:hAnsiTheme="minorHAnsi" w:cs="Arial"/>
        </w:rPr>
      </w:pPr>
      <w:proofErr w:type="gramStart"/>
      <w:r w:rsidRPr="00A11265">
        <w:rPr>
          <w:rFonts w:asciiTheme="minorHAnsi" w:hAnsiTheme="minorHAnsi" w:cs="Arial"/>
        </w:rPr>
        <w:t>pricing</w:t>
      </w:r>
      <w:proofErr w:type="gramEnd"/>
      <w:r w:rsidRPr="00A11265">
        <w:rPr>
          <w:rFonts w:asciiTheme="minorHAnsi" w:hAnsiTheme="minorHAnsi" w:cs="Arial"/>
        </w:rPr>
        <w:t xml:space="preserve"> and dispatch through a spot market.</w:t>
      </w:r>
    </w:p>
    <w:p w14:paraId="0565D918" w14:textId="3DDD4095" w:rsidR="00344D07" w:rsidRPr="00A11265" w:rsidRDefault="00CB560D">
      <w:pPr>
        <w:rPr>
          <w:rFonts w:asciiTheme="minorHAnsi" w:hAnsiTheme="minorHAnsi" w:cs="Arial"/>
        </w:rPr>
      </w:pPr>
      <w:r w:rsidRPr="00A11265">
        <w:rPr>
          <w:rFonts w:asciiTheme="minorHAnsi" w:hAnsiTheme="minorHAnsi" w:cs="Arial"/>
        </w:rPr>
        <w:t xml:space="preserve">The current </w:t>
      </w:r>
      <w:r w:rsidR="00BF6B90" w:rsidRPr="00A11265">
        <w:rPr>
          <w:rFonts w:asciiTheme="minorHAnsi" w:hAnsiTheme="minorHAnsi" w:cs="Arial"/>
        </w:rPr>
        <w:t>essential system services</w:t>
      </w:r>
      <w:r w:rsidRPr="00A11265">
        <w:rPr>
          <w:rFonts w:asciiTheme="minorHAnsi" w:hAnsiTheme="minorHAnsi" w:cs="Arial"/>
        </w:rPr>
        <w:t xml:space="preserve"> framework</w:t>
      </w:r>
      <w:r w:rsidR="00972E86" w:rsidRPr="00A11265">
        <w:rPr>
          <w:rFonts w:asciiTheme="minorHAnsi" w:hAnsiTheme="minorHAnsi" w:cs="Arial"/>
        </w:rPr>
        <w:t xml:space="preserve"> in the NT regulated systems</w:t>
      </w:r>
      <w:r w:rsidRPr="00A11265">
        <w:rPr>
          <w:rFonts w:asciiTheme="minorHAnsi" w:hAnsiTheme="minorHAnsi" w:cs="Arial"/>
        </w:rPr>
        <w:t xml:space="preserve"> is characterised by regulation with a mix of regulated tariff and mandated provision elements.</w:t>
      </w:r>
    </w:p>
    <w:p w14:paraId="66FD4F11" w14:textId="21BA7B23" w:rsidR="00CB560D" w:rsidRPr="00A11265" w:rsidRDefault="00EB5BE3" w:rsidP="00CB560D">
      <w:pPr>
        <w:rPr>
          <w:rFonts w:asciiTheme="minorHAnsi" w:hAnsiTheme="minorHAnsi" w:cs="Arial"/>
        </w:rPr>
      </w:pPr>
      <w:r>
        <w:rPr>
          <w:rFonts w:asciiTheme="minorHAnsi" w:hAnsiTheme="minorHAnsi" w:cs="Arial"/>
        </w:rPr>
        <w:t>I</w:t>
      </w:r>
      <w:r w:rsidR="00BF6B90" w:rsidRPr="00A11265">
        <w:rPr>
          <w:rFonts w:asciiTheme="minorHAnsi" w:hAnsiTheme="minorHAnsi" w:cs="Arial"/>
        </w:rPr>
        <w:t>t is a requirement of the System Control Technical Code (</w:t>
      </w:r>
      <w:r w:rsidR="00CB560D" w:rsidRPr="00A11265">
        <w:rPr>
          <w:rFonts w:asciiTheme="minorHAnsi" w:hAnsiTheme="minorHAnsi" w:cs="Arial"/>
        </w:rPr>
        <w:t>SCTC</w:t>
      </w:r>
      <w:r w:rsidR="00BF6B90" w:rsidRPr="00A11265">
        <w:rPr>
          <w:rFonts w:asciiTheme="minorHAnsi" w:hAnsiTheme="minorHAnsi" w:cs="Arial"/>
        </w:rPr>
        <w:t>)</w:t>
      </w:r>
      <w:r w:rsidR="00CB560D" w:rsidRPr="00A11265">
        <w:rPr>
          <w:rFonts w:asciiTheme="minorHAnsi" w:hAnsiTheme="minorHAnsi" w:cs="Arial"/>
        </w:rPr>
        <w:t xml:space="preserve"> that a regulatory mechanism for the procurement and responsibility for </w:t>
      </w:r>
      <w:r w:rsidR="00BF6B90" w:rsidRPr="00A11265">
        <w:rPr>
          <w:rFonts w:asciiTheme="minorHAnsi" w:hAnsiTheme="minorHAnsi" w:cs="Arial"/>
        </w:rPr>
        <w:t>essential system services</w:t>
      </w:r>
      <w:r w:rsidR="00CB560D" w:rsidRPr="00A11265">
        <w:rPr>
          <w:rFonts w:asciiTheme="minorHAnsi" w:hAnsiTheme="minorHAnsi" w:cs="Arial"/>
        </w:rPr>
        <w:t xml:space="preserve"> be developed</w:t>
      </w:r>
      <w:r w:rsidR="00CB560D" w:rsidRPr="00A11265">
        <w:rPr>
          <w:rFonts w:asciiTheme="minorHAnsi" w:hAnsiTheme="minorHAnsi"/>
          <w:vertAlign w:val="superscript"/>
        </w:rPr>
        <w:footnoteReference w:id="31"/>
      </w:r>
      <w:r w:rsidR="00CB560D" w:rsidRPr="00A11265">
        <w:rPr>
          <w:rFonts w:asciiTheme="minorHAnsi" w:hAnsiTheme="minorHAnsi" w:cs="Arial"/>
        </w:rPr>
        <w:t xml:space="preserve">, and for system participants to be remunerated for </w:t>
      </w:r>
      <w:r w:rsidR="00BF6B90" w:rsidRPr="00A11265">
        <w:rPr>
          <w:rFonts w:asciiTheme="minorHAnsi" w:hAnsiTheme="minorHAnsi" w:cs="Arial"/>
        </w:rPr>
        <w:t>essential system services</w:t>
      </w:r>
      <w:r w:rsidR="00CB560D" w:rsidRPr="00A11265">
        <w:rPr>
          <w:rFonts w:asciiTheme="minorHAnsi" w:hAnsiTheme="minorHAnsi" w:cs="Arial"/>
        </w:rPr>
        <w:t xml:space="preserve"> based on the type and amount of service provided</w:t>
      </w:r>
      <w:r>
        <w:rPr>
          <w:rFonts w:asciiTheme="minorHAnsi" w:hAnsiTheme="minorHAnsi" w:cs="Arial"/>
        </w:rPr>
        <w:t>.</w:t>
      </w:r>
      <w:r w:rsidR="00CB560D" w:rsidRPr="00A11265">
        <w:rPr>
          <w:rFonts w:asciiTheme="minorHAnsi" w:hAnsiTheme="minorHAnsi"/>
          <w:vertAlign w:val="superscript"/>
        </w:rPr>
        <w:footnoteReference w:id="32"/>
      </w:r>
      <w:r w:rsidR="00CB560D" w:rsidRPr="00A11265">
        <w:rPr>
          <w:rFonts w:asciiTheme="minorHAnsi" w:hAnsiTheme="minorHAnsi" w:cs="Arial"/>
        </w:rPr>
        <w:t xml:space="preserve"> </w:t>
      </w:r>
      <w:r>
        <w:rPr>
          <w:rFonts w:asciiTheme="minorHAnsi" w:hAnsiTheme="minorHAnsi" w:cs="Arial"/>
        </w:rPr>
        <w:t>N</w:t>
      </w:r>
      <w:r w:rsidR="00CB560D" w:rsidRPr="00A11265">
        <w:rPr>
          <w:rFonts w:asciiTheme="minorHAnsi" w:hAnsiTheme="minorHAnsi" w:cs="Arial"/>
        </w:rPr>
        <w:t>o arrangements have been developed to date.</w:t>
      </w:r>
    </w:p>
    <w:p w14:paraId="1ECF28FA" w14:textId="742994CC" w:rsidR="00CB560D" w:rsidRPr="00A11265" w:rsidRDefault="00CB560D" w:rsidP="00CB560D">
      <w:pPr>
        <w:rPr>
          <w:rFonts w:asciiTheme="minorHAnsi" w:hAnsiTheme="minorHAnsi" w:cs="Arial"/>
        </w:rPr>
      </w:pPr>
      <w:r w:rsidRPr="00A11265">
        <w:rPr>
          <w:rFonts w:asciiTheme="minorHAnsi" w:hAnsiTheme="minorHAnsi" w:cs="Arial"/>
        </w:rPr>
        <w:t>Instead, the SCTC makes provision for generators to pay Territory Generation</w:t>
      </w:r>
      <w:r w:rsidR="006A704A">
        <w:rPr>
          <w:rFonts w:asciiTheme="minorHAnsi" w:hAnsiTheme="minorHAnsi" w:cs="Arial"/>
        </w:rPr>
        <w:t xml:space="preserve"> (T-Gen)</w:t>
      </w:r>
      <w:r w:rsidRPr="00A11265">
        <w:rPr>
          <w:rFonts w:asciiTheme="minorHAnsi" w:hAnsiTheme="minorHAnsi" w:cs="Arial"/>
        </w:rPr>
        <w:t xml:space="preserve"> for provision of </w:t>
      </w:r>
      <w:r w:rsidR="00BF6B90" w:rsidRPr="00A11265">
        <w:rPr>
          <w:rFonts w:asciiTheme="minorHAnsi" w:hAnsiTheme="minorHAnsi" w:cs="Arial"/>
        </w:rPr>
        <w:t>essential system services</w:t>
      </w:r>
      <w:r w:rsidRPr="00A11265">
        <w:rPr>
          <w:rFonts w:asciiTheme="minorHAnsi" w:hAnsiTheme="minorHAnsi" w:cs="Arial"/>
        </w:rPr>
        <w:t xml:space="preserve"> at a rate of $5.40</w:t>
      </w:r>
      <w:r w:rsidR="00A9039F">
        <w:rPr>
          <w:rFonts w:asciiTheme="minorHAnsi" w:hAnsiTheme="minorHAnsi" w:cs="Arial"/>
        </w:rPr>
        <w:t>/megawatt hour</w:t>
      </w:r>
      <w:r w:rsidRPr="00A11265">
        <w:rPr>
          <w:rFonts w:asciiTheme="minorHAnsi" w:hAnsiTheme="minorHAnsi" w:cs="Arial"/>
        </w:rPr>
        <w:t xml:space="preserve"> of electricity sent out.</w:t>
      </w:r>
      <w:r w:rsidR="00B01718" w:rsidRPr="00A11265">
        <w:rPr>
          <w:rStyle w:val="FootnoteReference"/>
          <w:rFonts w:asciiTheme="minorHAnsi" w:hAnsiTheme="minorHAnsi" w:cs="Arial"/>
        </w:rPr>
        <w:footnoteReference w:id="33"/>
      </w:r>
    </w:p>
    <w:p w14:paraId="6A793FB9" w14:textId="663F980E" w:rsidR="00CB560D" w:rsidRPr="00A11265" w:rsidRDefault="00CB560D" w:rsidP="00CB560D">
      <w:pPr>
        <w:rPr>
          <w:rFonts w:asciiTheme="minorHAnsi" w:hAnsiTheme="minorHAnsi" w:cs="Arial"/>
        </w:rPr>
      </w:pPr>
      <w:r w:rsidRPr="00A11265">
        <w:rPr>
          <w:rFonts w:asciiTheme="minorHAnsi" w:hAnsiTheme="minorHAnsi" w:cs="Arial"/>
        </w:rPr>
        <w:t xml:space="preserve">Other generators may be called on by the System Controller to provide </w:t>
      </w:r>
      <w:r w:rsidR="00BF6B90" w:rsidRPr="00A11265">
        <w:rPr>
          <w:rFonts w:asciiTheme="minorHAnsi" w:hAnsiTheme="minorHAnsi" w:cs="Arial"/>
        </w:rPr>
        <w:t>essential system services</w:t>
      </w:r>
      <w:r w:rsidRPr="00A11265">
        <w:rPr>
          <w:rFonts w:asciiTheme="minorHAnsi" w:hAnsiTheme="minorHAnsi" w:cs="Arial"/>
        </w:rPr>
        <w:t>, but there is no</w:t>
      </w:r>
      <w:r w:rsidR="00F72DCE" w:rsidRPr="00A11265">
        <w:rPr>
          <w:rFonts w:asciiTheme="minorHAnsi" w:hAnsiTheme="minorHAnsi" w:cs="Arial"/>
        </w:rPr>
        <w:t xml:space="preserve"> formal</w:t>
      </w:r>
      <w:r w:rsidRPr="00A11265">
        <w:rPr>
          <w:rFonts w:asciiTheme="minorHAnsi" w:hAnsiTheme="minorHAnsi" w:cs="Arial"/>
        </w:rPr>
        <w:t xml:space="preserve"> mechanism to compensate them for this. There is also no incentive, other than through sub</w:t>
      </w:r>
      <w:r w:rsidRPr="00A11265">
        <w:rPr>
          <w:rFonts w:asciiTheme="minorHAnsi" w:hAnsiTheme="minorHAnsi" w:cs="Arial"/>
        </w:rPr>
        <w:noBreakHyphen/>
        <w:t>contracting by T</w:t>
      </w:r>
      <w:r w:rsidR="006A704A">
        <w:rPr>
          <w:rFonts w:asciiTheme="minorHAnsi" w:hAnsiTheme="minorHAnsi" w:cs="Arial"/>
        </w:rPr>
        <w:noBreakHyphen/>
        <w:t>Gen</w:t>
      </w:r>
      <w:r w:rsidRPr="00A11265">
        <w:rPr>
          <w:rFonts w:asciiTheme="minorHAnsi" w:hAnsiTheme="minorHAnsi" w:cs="Arial"/>
        </w:rPr>
        <w:t xml:space="preserve">, for third parties to provide </w:t>
      </w:r>
      <w:r w:rsidR="009C2A87" w:rsidRPr="00A11265">
        <w:rPr>
          <w:rFonts w:asciiTheme="minorHAnsi" w:hAnsiTheme="minorHAnsi" w:cs="Arial"/>
        </w:rPr>
        <w:t>essential system services</w:t>
      </w:r>
      <w:r w:rsidRPr="00A11265">
        <w:rPr>
          <w:rFonts w:asciiTheme="minorHAnsi" w:hAnsiTheme="minorHAnsi" w:cs="Arial"/>
        </w:rPr>
        <w:t xml:space="preserve"> voluntarily.</w:t>
      </w:r>
    </w:p>
    <w:p w14:paraId="776BF708" w14:textId="7437F57B" w:rsidR="00B66222" w:rsidRPr="00A11265" w:rsidRDefault="00CB560D" w:rsidP="00CB560D">
      <w:pPr>
        <w:rPr>
          <w:rFonts w:asciiTheme="minorHAnsi" w:hAnsiTheme="minorHAnsi" w:cs="Arial"/>
        </w:rPr>
      </w:pPr>
      <w:r w:rsidRPr="00A11265">
        <w:rPr>
          <w:rFonts w:asciiTheme="minorHAnsi" w:hAnsiTheme="minorHAnsi" w:cs="Arial"/>
        </w:rPr>
        <w:t>New Generator Performance Standards</w:t>
      </w:r>
      <w:r w:rsidR="009C2A87" w:rsidRPr="00A11265">
        <w:rPr>
          <w:rFonts w:asciiTheme="minorHAnsi" w:hAnsiTheme="minorHAnsi" w:cs="Arial"/>
        </w:rPr>
        <w:t xml:space="preserve"> (GPS)</w:t>
      </w:r>
      <w:r w:rsidRPr="00A11265">
        <w:rPr>
          <w:rFonts w:asciiTheme="minorHAnsi" w:hAnsiTheme="minorHAnsi" w:cs="Arial"/>
        </w:rPr>
        <w:t xml:space="preserve"> approved</w:t>
      </w:r>
      <w:r w:rsidR="00A666FE" w:rsidRPr="00A11265">
        <w:rPr>
          <w:rFonts w:asciiTheme="minorHAnsi" w:hAnsiTheme="minorHAnsi" w:cs="Arial"/>
        </w:rPr>
        <w:t xml:space="preserve"> by the Utilities Commission</w:t>
      </w:r>
      <w:r w:rsidRPr="00A11265">
        <w:rPr>
          <w:rFonts w:asciiTheme="minorHAnsi" w:hAnsiTheme="minorHAnsi" w:cs="Arial"/>
        </w:rPr>
        <w:t xml:space="preserve"> in March 2020 mandate </w:t>
      </w:r>
      <w:r w:rsidR="00BF6B90" w:rsidRPr="00A11265">
        <w:rPr>
          <w:rFonts w:asciiTheme="minorHAnsi" w:hAnsiTheme="minorHAnsi" w:cs="Arial"/>
        </w:rPr>
        <w:t>essential system service</w:t>
      </w:r>
      <w:r w:rsidRPr="00A11265">
        <w:rPr>
          <w:rFonts w:asciiTheme="minorHAnsi" w:hAnsiTheme="minorHAnsi" w:cs="Arial"/>
        </w:rPr>
        <w:t xml:space="preserve"> (frequency management) capability for generators, subject to energy source availability. This effectively means that large-scale solar PV may be called on to provide contingency lower frequency control service, but would not have their output constrained to provide contingency raise frequency control service.</w:t>
      </w:r>
      <w:r w:rsidR="006E1F8C" w:rsidRPr="00A11265">
        <w:rPr>
          <w:rStyle w:val="FootnoteReference"/>
          <w:rFonts w:asciiTheme="minorHAnsi" w:hAnsiTheme="minorHAnsi" w:cs="Arial"/>
        </w:rPr>
        <w:footnoteReference w:id="34"/>
      </w:r>
    </w:p>
    <w:p w14:paraId="1475FE4C" w14:textId="45A340D1" w:rsidR="005B55DD" w:rsidRPr="00A11265" w:rsidRDefault="005B55DD" w:rsidP="00D9724C">
      <w:pPr>
        <w:pStyle w:val="Heading3"/>
        <w:keepNext/>
        <w:rPr>
          <w:szCs w:val="24"/>
          <w:lang w:eastAsia="en-AU"/>
        </w:rPr>
      </w:pPr>
      <w:r w:rsidRPr="00A11265">
        <w:rPr>
          <w:szCs w:val="24"/>
          <w:lang w:eastAsia="en-AU"/>
        </w:rPr>
        <w:t>Case for change</w:t>
      </w:r>
    </w:p>
    <w:p w14:paraId="6DDCD972" w14:textId="7A3E491F" w:rsidR="005B55DD" w:rsidRPr="00A11265" w:rsidRDefault="005B55DD" w:rsidP="006A704A">
      <w:pPr>
        <w:rPr>
          <w:rFonts w:asciiTheme="minorHAnsi" w:hAnsiTheme="minorHAnsi" w:cs="Arial"/>
        </w:rPr>
      </w:pPr>
      <w:r w:rsidRPr="00A11265">
        <w:rPr>
          <w:rFonts w:asciiTheme="minorHAnsi" w:hAnsiTheme="minorHAnsi" w:cs="Arial"/>
        </w:rPr>
        <w:t>The current framework excludes private proponents from providing</w:t>
      </w:r>
      <w:r w:rsidR="00FC19C7">
        <w:rPr>
          <w:rFonts w:asciiTheme="minorHAnsi" w:hAnsiTheme="minorHAnsi" w:cs="Arial"/>
        </w:rPr>
        <w:t xml:space="preserve"> innovative and</w:t>
      </w:r>
      <w:r w:rsidRPr="00A11265">
        <w:rPr>
          <w:rFonts w:asciiTheme="minorHAnsi" w:hAnsiTheme="minorHAnsi" w:cs="Arial"/>
        </w:rPr>
        <w:t xml:space="preserve"> potentially</w:t>
      </w:r>
      <w:r w:rsidR="008F4C10" w:rsidRPr="00A11265">
        <w:rPr>
          <w:rFonts w:asciiTheme="minorHAnsi" w:hAnsiTheme="minorHAnsi" w:cs="Arial"/>
        </w:rPr>
        <w:t xml:space="preserve"> cheaper essential system services</w:t>
      </w:r>
      <w:r w:rsidR="00C3020E" w:rsidRPr="00A11265">
        <w:rPr>
          <w:rFonts w:asciiTheme="minorHAnsi" w:hAnsiTheme="minorHAnsi" w:cs="Arial"/>
        </w:rPr>
        <w:t>. Competitive</w:t>
      </w:r>
      <w:r w:rsidR="008F4C10" w:rsidRPr="00A11265">
        <w:rPr>
          <w:rFonts w:asciiTheme="minorHAnsi" w:hAnsiTheme="minorHAnsi" w:cs="Arial"/>
        </w:rPr>
        <w:t xml:space="preserve"> provision of essential system services would expose </w:t>
      </w:r>
      <w:r w:rsidR="006A704A">
        <w:rPr>
          <w:rFonts w:asciiTheme="minorHAnsi" w:hAnsiTheme="minorHAnsi" w:cs="Arial"/>
        </w:rPr>
        <w:t>T</w:t>
      </w:r>
      <w:r w:rsidR="006A704A">
        <w:rPr>
          <w:rFonts w:asciiTheme="minorHAnsi" w:hAnsiTheme="minorHAnsi" w:cs="Arial"/>
        </w:rPr>
        <w:noBreakHyphen/>
        <w:t>Gen</w:t>
      </w:r>
      <w:r w:rsidRPr="00A11265">
        <w:rPr>
          <w:rFonts w:asciiTheme="minorHAnsi" w:hAnsiTheme="minorHAnsi" w:cs="Arial"/>
        </w:rPr>
        <w:t xml:space="preserve"> to competitive tension and promote provision of more cost and technology competitive supply, putting downward pressure on electricity costs for the benefit of consumers.</w:t>
      </w:r>
    </w:p>
    <w:p w14:paraId="2EA67D8E" w14:textId="6103A24A" w:rsidR="005B55DD" w:rsidRPr="00A11265" w:rsidRDefault="005B55DD" w:rsidP="00CB560D">
      <w:pPr>
        <w:rPr>
          <w:rFonts w:asciiTheme="minorHAnsi" w:hAnsiTheme="minorHAnsi" w:cs="Arial"/>
        </w:rPr>
      </w:pPr>
      <w:r w:rsidRPr="00A11265">
        <w:rPr>
          <w:rFonts w:asciiTheme="minorHAnsi" w:hAnsiTheme="minorHAnsi" w:cs="Arial"/>
        </w:rPr>
        <w:lastRenderedPageBreak/>
        <w:t xml:space="preserve">In addition, in the context of the </w:t>
      </w:r>
      <w:r w:rsidR="009C2A87" w:rsidRPr="00A11265">
        <w:rPr>
          <w:rFonts w:asciiTheme="minorHAnsi" w:hAnsiTheme="minorHAnsi" w:cs="Arial"/>
        </w:rPr>
        <w:t>GPS</w:t>
      </w:r>
      <w:r w:rsidRPr="00A11265">
        <w:rPr>
          <w:rFonts w:asciiTheme="minorHAnsi" w:hAnsiTheme="minorHAnsi" w:cs="Arial"/>
        </w:rPr>
        <w:t xml:space="preserve"> approved in March 2020 which are likely to require connecting</w:t>
      </w:r>
      <w:r w:rsidR="009C2A87" w:rsidRPr="00A11265">
        <w:rPr>
          <w:rFonts w:asciiTheme="minorHAnsi" w:hAnsiTheme="minorHAnsi" w:cs="Arial"/>
        </w:rPr>
        <w:t xml:space="preserve"> large</w:t>
      </w:r>
      <w:r w:rsidR="00EB5BE3">
        <w:rPr>
          <w:rFonts w:asciiTheme="minorHAnsi" w:hAnsiTheme="minorHAnsi" w:cs="Arial"/>
        </w:rPr>
        <w:noBreakHyphen/>
      </w:r>
      <w:r w:rsidR="009C2A87" w:rsidRPr="00A11265">
        <w:rPr>
          <w:rFonts w:asciiTheme="minorHAnsi" w:hAnsiTheme="minorHAnsi" w:cs="Arial"/>
        </w:rPr>
        <w:t>scale</w:t>
      </w:r>
      <w:r w:rsidRPr="00A11265">
        <w:rPr>
          <w:rFonts w:asciiTheme="minorHAnsi" w:hAnsiTheme="minorHAnsi" w:cs="Arial"/>
        </w:rPr>
        <w:t xml:space="preserve"> solar</w:t>
      </w:r>
      <w:r w:rsidR="009C2A87" w:rsidRPr="00A11265">
        <w:rPr>
          <w:rFonts w:asciiTheme="minorHAnsi" w:hAnsiTheme="minorHAnsi" w:cs="Arial"/>
        </w:rPr>
        <w:t xml:space="preserve"> PV</w:t>
      </w:r>
      <w:r w:rsidRPr="00A11265">
        <w:rPr>
          <w:rFonts w:asciiTheme="minorHAnsi" w:hAnsiTheme="minorHAnsi" w:cs="Arial"/>
        </w:rPr>
        <w:t xml:space="preserve"> to install or contract for battery capacity, the </w:t>
      </w:r>
      <w:r w:rsidR="00C3020E" w:rsidRPr="00A11265">
        <w:rPr>
          <w:rFonts w:asciiTheme="minorHAnsi" w:hAnsiTheme="minorHAnsi" w:cs="Arial"/>
        </w:rPr>
        <w:t xml:space="preserve">competitive </w:t>
      </w:r>
      <w:r w:rsidRPr="00A11265">
        <w:rPr>
          <w:rFonts w:asciiTheme="minorHAnsi" w:hAnsiTheme="minorHAnsi" w:cs="Arial"/>
        </w:rPr>
        <w:t>provision of essential system services may:</w:t>
      </w:r>
    </w:p>
    <w:p w14:paraId="50DF3FE2" w14:textId="4B5B43D2" w:rsidR="005B55DD" w:rsidRPr="00A11265" w:rsidRDefault="005B55DD" w:rsidP="001F613E">
      <w:pPr>
        <w:pStyle w:val="ListParagraph"/>
        <w:numPr>
          <w:ilvl w:val="0"/>
          <w:numId w:val="11"/>
        </w:numPr>
        <w:spacing w:before="200"/>
        <w:ind w:left="426"/>
        <w:rPr>
          <w:rFonts w:asciiTheme="minorHAnsi" w:hAnsiTheme="minorHAnsi" w:cs="Arial"/>
        </w:rPr>
      </w:pPr>
      <w:r w:rsidRPr="00A11265">
        <w:rPr>
          <w:rFonts w:asciiTheme="minorHAnsi" w:hAnsiTheme="minorHAnsi" w:cs="Arial"/>
        </w:rPr>
        <w:t>increase revenue opportunities, because</w:t>
      </w:r>
      <w:r w:rsidR="009C2A87" w:rsidRPr="00A11265">
        <w:rPr>
          <w:rFonts w:asciiTheme="minorHAnsi" w:hAnsiTheme="minorHAnsi" w:cs="Arial"/>
        </w:rPr>
        <w:t xml:space="preserve"> solar PV and</w:t>
      </w:r>
      <w:r w:rsidRPr="00A11265">
        <w:rPr>
          <w:rFonts w:asciiTheme="minorHAnsi" w:hAnsiTheme="minorHAnsi" w:cs="Arial"/>
        </w:rPr>
        <w:t xml:space="preserve"> batter</w:t>
      </w:r>
      <w:r w:rsidR="009C2A87" w:rsidRPr="00A11265">
        <w:rPr>
          <w:rFonts w:asciiTheme="minorHAnsi" w:hAnsiTheme="minorHAnsi" w:cs="Arial"/>
        </w:rPr>
        <w:t>y facilities</w:t>
      </w:r>
      <w:r w:rsidRPr="00A11265">
        <w:rPr>
          <w:rFonts w:asciiTheme="minorHAnsi" w:hAnsiTheme="minorHAnsi" w:cs="Arial"/>
        </w:rPr>
        <w:t xml:space="preserve"> required to </w:t>
      </w:r>
      <w:r w:rsidR="009C2A87" w:rsidRPr="00A11265">
        <w:rPr>
          <w:rFonts w:asciiTheme="minorHAnsi" w:hAnsiTheme="minorHAnsi" w:cs="Arial"/>
        </w:rPr>
        <w:t>meet capacity forecasting requirements</w:t>
      </w:r>
      <w:r w:rsidRPr="00A11265">
        <w:rPr>
          <w:rFonts w:asciiTheme="minorHAnsi" w:hAnsiTheme="minorHAnsi" w:cs="Arial"/>
        </w:rPr>
        <w:t xml:space="preserve"> could also be deployed to provide essential system services under competitive arrangements; and/or</w:t>
      </w:r>
    </w:p>
    <w:p w14:paraId="5E2F104D" w14:textId="7BC974DF" w:rsidR="005B55DD" w:rsidRPr="00A11265" w:rsidRDefault="005B55DD" w:rsidP="001F613E">
      <w:pPr>
        <w:pStyle w:val="ListParagraph"/>
        <w:numPr>
          <w:ilvl w:val="0"/>
          <w:numId w:val="11"/>
        </w:numPr>
        <w:spacing w:before="200"/>
        <w:ind w:left="426"/>
        <w:rPr>
          <w:rFonts w:asciiTheme="minorHAnsi" w:hAnsiTheme="minorHAnsi" w:cs="Arial"/>
        </w:rPr>
      </w:pPr>
      <w:proofErr w:type="gramStart"/>
      <w:r w:rsidRPr="00A11265">
        <w:rPr>
          <w:rFonts w:asciiTheme="minorHAnsi" w:hAnsiTheme="minorHAnsi" w:cs="Arial"/>
        </w:rPr>
        <w:t>reduce</w:t>
      </w:r>
      <w:proofErr w:type="gramEnd"/>
      <w:r w:rsidRPr="00A11265">
        <w:rPr>
          <w:rFonts w:asciiTheme="minorHAnsi" w:hAnsiTheme="minorHAnsi" w:cs="Arial"/>
        </w:rPr>
        <w:t xml:space="preserve"> the cost of contracting battery capacity, as</w:t>
      </w:r>
      <w:r w:rsidR="00EB5BE3">
        <w:rPr>
          <w:rFonts w:asciiTheme="minorHAnsi" w:hAnsiTheme="minorHAnsi" w:cs="Arial"/>
        </w:rPr>
        <w:t xml:space="preserve"> potential third-party service</w:t>
      </w:r>
      <w:r w:rsidRPr="00A11265">
        <w:rPr>
          <w:rFonts w:asciiTheme="minorHAnsi" w:hAnsiTheme="minorHAnsi" w:cs="Arial"/>
        </w:rPr>
        <w:t xml:space="preserve"> provider</w:t>
      </w:r>
      <w:r w:rsidR="00EB5BE3">
        <w:rPr>
          <w:rFonts w:asciiTheme="minorHAnsi" w:hAnsiTheme="minorHAnsi" w:cs="Arial"/>
        </w:rPr>
        <w:t>s</w:t>
      </w:r>
      <w:r w:rsidRPr="00A11265">
        <w:rPr>
          <w:rFonts w:asciiTheme="minorHAnsi" w:hAnsiTheme="minorHAnsi" w:cs="Arial"/>
        </w:rPr>
        <w:t xml:space="preserve"> </w:t>
      </w:r>
      <w:r w:rsidR="009C2A87" w:rsidRPr="00A11265">
        <w:rPr>
          <w:rFonts w:asciiTheme="minorHAnsi" w:hAnsiTheme="minorHAnsi" w:cs="Arial"/>
        </w:rPr>
        <w:t>may</w:t>
      </w:r>
      <w:r w:rsidR="001122DD">
        <w:rPr>
          <w:rFonts w:asciiTheme="minorHAnsi" w:hAnsiTheme="minorHAnsi" w:cs="Arial"/>
        </w:rPr>
        <w:t xml:space="preserve"> also</w:t>
      </w:r>
      <w:r w:rsidRPr="00A11265">
        <w:rPr>
          <w:rFonts w:asciiTheme="minorHAnsi" w:hAnsiTheme="minorHAnsi" w:cs="Arial"/>
        </w:rPr>
        <w:t xml:space="preserve"> have opportunit</w:t>
      </w:r>
      <w:r w:rsidR="009C2A87" w:rsidRPr="00A11265">
        <w:rPr>
          <w:rFonts w:asciiTheme="minorHAnsi" w:hAnsiTheme="minorHAnsi" w:cs="Arial"/>
        </w:rPr>
        <w:t>ies</w:t>
      </w:r>
      <w:r w:rsidRPr="00A11265">
        <w:rPr>
          <w:rFonts w:asciiTheme="minorHAnsi" w:hAnsiTheme="minorHAnsi" w:cs="Arial"/>
        </w:rPr>
        <w:t xml:space="preserve"> to benefit from potential essential system services revenue streams.</w:t>
      </w:r>
    </w:p>
    <w:p w14:paraId="19889C94" w14:textId="56F19F4F" w:rsidR="005B55DD" w:rsidRPr="00A11265" w:rsidRDefault="005B55DD" w:rsidP="00CB560D">
      <w:pPr>
        <w:rPr>
          <w:rFonts w:asciiTheme="minorHAnsi" w:hAnsiTheme="minorHAnsi" w:cs="Arial"/>
        </w:rPr>
      </w:pPr>
      <w:r w:rsidRPr="00A11265">
        <w:rPr>
          <w:rFonts w:asciiTheme="minorHAnsi" w:hAnsiTheme="minorHAnsi" w:cs="Arial"/>
        </w:rPr>
        <w:t xml:space="preserve">In its final </w:t>
      </w:r>
      <w:r w:rsidR="00E34704" w:rsidRPr="00A11265">
        <w:rPr>
          <w:rFonts w:asciiTheme="minorHAnsi" w:hAnsiTheme="minorHAnsi" w:cs="Arial"/>
        </w:rPr>
        <w:t xml:space="preserve">March 2020 </w:t>
      </w:r>
      <w:r w:rsidRPr="00A11265">
        <w:rPr>
          <w:rFonts w:asciiTheme="minorHAnsi" w:hAnsiTheme="minorHAnsi" w:cs="Arial"/>
        </w:rPr>
        <w:t xml:space="preserve">decision on the </w:t>
      </w:r>
      <w:r w:rsidR="009C2A87" w:rsidRPr="00A11265">
        <w:rPr>
          <w:rFonts w:asciiTheme="minorHAnsi" w:hAnsiTheme="minorHAnsi" w:cs="Arial"/>
        </w:rPr>
        <w:t>GPS</w:t>
      </w:r>
      <w:r w:rsidRPr="00A11265">
        <w:rPr>
          <w:rFonts w:asciiTheme="minorHAnsi" w:hAnsiTheme="minorHAnsi" w:cs="Arial"/>
        </w:rPr>
        <w:t>, the Util</w:t>
      </w:r>
      <w:r w:rsidR="00E34704" w:rsidRPr="00A11265">
        <w:rPr>
          <w:rFonts w:asciiTheme="minorHAnsi" w:hAnsiTheme="minorHAnsi" w:cs="Arial"/>
        </w:rPr>
        <w:t>ities Commission highlighted the potential</w:t>
      </w:r>
      <w:r w:rsidRPr="00A11265">
        <w:rPr>
          <w:rFonts w:asciiTheme="minorHAnsi" w:hAnsiTheme="minorHAnsi" w:cs="Arial"/>
        </w:rPr>
        <w:t xml:space="preserve"> </w:t>
      </w:r>
      <w:r w:rsidR="00E34704" w:rsidRPr="00A11265">
        <w:rPr>
          <w:rFonts w:asciiTheme="minorHAnsi" w:hAnsiTheme="minorHAnsi" w:cs="Arial"/>
        </w:rPr>
        <w:t xml:space="preserve">impact of the </w:t>
      </w:r>
      <w:r w:rsidRPr="00A11265">
        <w:rPr>
          <w:rFonts w:asciiTheme="minorHAnsi" w:hAnsiTheme="minorHAnsi" w:cs="Arial"/>
        </w:rPr>
        <w:t>cur</w:t>
      </w:r>
      <w:r w:rsidR="00E34704" w:rsidRPr="00A11265">
        <w:rPr>
          <w:rFonts w:asciiTheme="minorHAnsi" w:hAnsiTheme="minorHAnsi" w:cs="Arial"/>
        </w:rPr>
        <w:t>rent monopoly provision</w:t>
      </w:r>
      <w:r w:rsidRPr="00A11265">
        <w:rPr>
          <w:rFonts w:asciiTheme="minorHAnsi" w:hAnsiTheme="minorHAnsi" w:cs="Arial"/>
        </w:rPr>
        <w:t xml:space="preserve"> arrangements</w:t>
      </w:r>
      <w:r w:rsidR="00E34704" w:rsidRPr="00A11265">
        <w:rPr>
          <w:rFonts w:asciiTheme="minorHAnsi" w:hAnsiTheme="minorHAnsi" w:cs="Arial"/>
        </w:rPr>
        <w:t xml:space="preserve"> for essential system services could have on large</w:t>
      </w:r>
      <w:r w:rsidR="00E34704" w:rsidRPr="00A11265">
        <w:rPr>
          <w:rFonts w:asciiTheme="minorHAnsi" w:hAnsiTheme="minorHAnsi" w:cs="Arial"/>
        </w:rPr>
        <w:noBreakHyphen/>
        <w:t>scale solar PV being able to independently contract for battery capacity</w:t>
      </w:r>
      <w:r w:rsidR="007B7BA6">
        <w:rPr>
          <w:rFonts w:asciiTheme="minorHAnsi" w:hAnsiTheme="minorHAnsi" w:cs="Arial"/>
        </w:rPr>
        <w:t>, stating:</w:t>
      </w:r>
    </w:p>
    <w:p w14:paraId="2A7C8F01" w14:textId="0E93E44E" w:rsidR="005B55DD" w:rsidRPr="00A11265" w:rsidRDefault="005B55DD" w:rsidP="00D9724C">
      <w:pPr>
        <w:ind w:left="567" w:right="567"/>
        <w:rPr>
          <w:rFonts w:asciiTheme="minorHAnsi" w:hAnsiTheme="minorHAnsi" w:cs="Arial"/>
        </w:rPr>
      </w:pPr>
      <w:r w:rsidRPr="00A11265">
        <w:rPr>
          <w:rFonts w:asciiTheme="minorHAnsi" w:hAnsiTheme="minorHAnsi" w:cs="Arial"/>
          <w:i/>
        </w:rPr>
        <w:t xml:space="preserve">The lack of a competitive ancillary services market whereby other parties can be paid for providing at least some of these services, means that the provision of a centralised battery solution by a private party would be less profitable than if provided by </w:t>
      </w:r>
      <w:proofErr w:type="spellStart"/>
      <w:r w:rsidRPr="00A11265">
        <w:rPr>
          <w:rFonts w:asciiTheme="minorHAnsi" w:hAnsiTheme="minorHAnsi" w:cs="Arial"/>
          <w:i/>
        </w:rPr>
        <w:t>TGen</w:t>
      </w:r>
      <w:proofErr w:type="spellEnd"/>
      <w:r w:rsidRPr="00A11265">
        <w:rPr>
          <w:rFonts w:asciiTheme="minorHAnsi" w:hAnsiTheme="minorHAnsi" w:cs="Arial"/>
          <w:i/>
        </w:rPr>
        <w:t xml:space="preserve"> and may not eventuate.</w:t>
      </w:r>
      <w:r w:rsidRPr="00A11265">
        <w:rPr>
          <w:rStyle w:val="FootnoteReference"/>
          <w:rFonts w:asciiTheme="minorHAnsi" w:hAnsiTheme="minorHAnsi" w:cs="Arial"/>
          <w:i/>
        </w:rPr>
        <w:footnoteReference w:id="35"/>
      </w:r>
    </w:p>
    <w:p w14:paraId="09E2A10C" w14:textId="06C8F79C" w:rsidR="00043938" w:rsidRPr="00A11265" w:rsidRDefault="00CA7591" w:rsidP="00D9724C">
      <w:pPr>
        <w:pStyle w:val="Heading2"/>
        <w:keepNext/>
        <w:rPr>
          <w:lang w:eastAsia="en-AU"/>
        </w:rPr>
      </w:pPr>
      <w:bookmarkStart w:id="167" w:name="_Toc61852394"/>
      <w:bookmarkStart w:id="168" w:name="_Toc61956200"/>
      <w:bookmarkEnd w:id="167"/>
      <w:r w:rsidRPr="00A11265">
        <w:rPr>
          <w:lang w:eastAsia="en-AU"/>
        </w:rPr>
        <w:t>S</w:t>
      </w:r>
      <w:r w:rsidR="00043938" w:rsidRPr="00A11265">
        <w:rPr>
          <w:lang w:eastAsia="en-AU"/>
        </w:rPr>
        <w:t>ubmissions</w:t>
      </w:r>
      <w:bookmarkEnd w:id="168"/>
    </w:p>
    <w:p w14:paraId="345CB096" w14:textId="1DD5F549" w:rsidR="00490022" w:rsidRPr="00A11265" w:rsidRDefault="00490022" w:rsidP="00E24FEC">
      <w:pPr>
        <w:rPr>
          <w:rFonts w:asciiTheme="minorHAnsi" w:hAnsiTheme="minorHAnsi" w:cs="Arial"/>
        </w:rPr>
      </w:pPr>
      <w:r w:rsidRPr="00A11265">
        <w:rPr>
          <w:rFonts w:asciiTheme="minorHAnsi" w:hAnsiTheme="minorHAnsi" w:cs="Arial"/>
        </w:rPr>
        <w:t>The Issues Pa</w:t>
      </w:r>
      <w:r w:rsidR="005B55DD" w:rsidRPr="00A11265">
        <w:rPr>
          <w:rFonts w:asciiTheme="minorHAnsi" w:hAnsiTheme="minorHAnsi" w:cs="Arial"/>
        </w:rPr>
        <w:t>per sought stakeholders</w:t>
      </w:r>
      <w:r w:rsidR="00C3020E" w:rsidRPr="00A11265">
        <w:rPr>
          <w:rFonts w:asciiTheme="minorHAnsi" w:hAnsiTheme="minorHAnsi" w:cs="Arial"/>
        </w:rPr>
        <w:t xml:space="preserve">’ views on what </w:t>
      </w:r>
      <w:r w:rsidR="005B55DD" w:rsidRPr="00A11265">
        <w:rPr>
          <w:rFonts w:asciiTheme="minorHAnsi" w:hAnsiTheme="minorHAnsi" w:cs="Arial"/>
        </w:rPr>
        <w:t xml:space="preserve">types of essential system services are most </w:t>
      </w:r>
      <w:r w:rsidR="00E34704" w:rsidRPr="00A11265">
        <w:rPr>
          <w:rFonts w:asciiTheme="minorHAnsi" w:hAnsiTheme="minorHAnsi" w:cs="Arial"/>
        </w:rPr>
        <w:t>suitable</w:t>
      </w:r>
      <w:r w:rsidR="00C3020E" w:rsidRPr="00A11265">
        <w:rPr>
          <w:rFonts w:asciiTheme="minorHAnsi" w:hAnsiTheme="minorHAnsi" w:cs="Arial"/>
        </w:rPr>
        <w:t xml:space="preserve"> for competitive</w:t>
      </w:r>
      <w:r w:rsidR="005B55DD" w:rsidRPr="00A11265">
        <w:rPr>
          <w:rFonts w:asciiTheme="minorHAnsi" w:hAnsiTheme="minorHAnsi" w:cs="Arial"/>
        </w:rPr>
        <w:t xml:space="preserve"> </w:t>
      </w:r>
      <w:r w:rsidR="00E34704" w:rsidRPr="00A11265">
        <w:rPr>
          <w:rFonts w:asciiTheme="minorHAnsi" w:hAnsiTheme="minorHAnsi" w:cs="Arial"/>
        </w:rPr>
        <w:t>provision</w:t>
      </w:r>
      <w:r w:rsidR="005B55DD" w:rsidRPr="00A11265">
        <w:rPr>
          <w:rFonts w:asciiTheme="minorHAnsi" w:hAnsiTheme="minorHAnsi" w:cs="Arial"/>
        </w:rPr>
        <w:t xml:space="preserve">, the likely </w:t>
      </w:r>
      <w:r w:rsidR="00E34704" w:rsidRPr="00A11265">
        <w:rPr>
          <w:rFonts w:asciiTheme="minorHAnsi" w:hAnsiTheme="minorHAnsi" w:cs="Arial"/>
        </w:rPr>
        <w:t xml:space="preserve">costs </w:t>
      </w:r>
      <w:r w:rsidR="005B55DD" w:rsidRPr="00A11265">
        <w:rPr>
          <w:rFonts w:asciiTheme="minorHAnsi" w:hAnsiTheme="minorHAnsi" w:cs="Arial"/>
        </w:rPr>
        <w:t xml:space="preserve">and benefits of </w:t>
      </w:r>
      <w:r w:rsidR="00E34704" w:rsidRPr="00A11265">
        <w:rPr>
          <w:rFonts w:asciiTheme="minorHAnsi" w:hAnsiTheme="minorHAnsi" w:cs="Arial"/>
        </w:rPr>
        <w:t>spot market procurement and what service provision framework would deliver the most appropriate balance between costs and benefits.</w:t>
      </w:r>
    </w:p>
    <w:p w14:paraId="1338089D" w14:textId="00035F74" w:rsidR="0062480B" w:rsidRPr="00A11265" w:rsidRDefault="00523EFA" w:rsidP="00D9724C">
      <w:pPr>
        <w:pStyle w:val="Heading3"/>
        <w:keepNext/>
        <w:rPr>
          <w:szCs w:val="24"/>
          <w:lang w:eastAsia="en-AU"/>
        </w:rPr>
      </w:pPr>
      <w:r w:rsidRPr="00A11265">
        <w:rPr>
          <w:szCs w:val="24"/>
          <w:lang w:eastAsia="en-AU"/>
        </w:rPr>
        <w:t>Prospects for c</w:t>
      </w:r>
      <w:r w:rsidR="00C3020E" w:rsidRPr="00A11265">
        <w:rPr>
          <w:szCs w:val="24"/>
          <w:lang w:eastAsia="en-AU"/>
        </w:rPr>
        <w:t>ompetitive</w:t>
      </w:r>
      <w:r w:rsidR="0062480B" w:rsidRPr="00A11265">
        <w:rPr>
          <w:szCs w:val="24"/>
          <w:lang w:eastAsia="en-AU"/>
        </w:rPr>
        <w:t xml:space="preserve"> provision</w:t>
      </w:r>
    </w:p>
    <w:p w14:paraId="74C7C72F" w14:textId="2BA677AA" w:rsidR="00BF3C6E" w:rsidRPr="00A11265" w:rsidRDefault="00BF3C6E" w:rsidP="00BF3C6E">
      <w:pPr>
        <w:rPr>
          <w:rFonts w:asciiTheme="minorHAnsi" w:hAnsiTheme="minorHAnsi" w:cs="Arial"/>
        </w:rPr>
      </w:pPr>
      <w:r w:rsidRPr="00A11265">
        <w:rPr>
          <w:rFonts w:asciiTheme="minorHAnsi" w:hAnsiTheme="minorHAnsi" w:cs="Arial"/>
        </w:rPr>
        <w:t>All stakeh</w:t>
      </w:r>
      <w:r w:rsidR="00CA7591" w:rsidRPr="00A11265">
        <w:rPr>
          <w:rFonts w:asciiTheme="minorHAnsi" w:hAnsiTheme="minorHAnsi" w:cs="Arial"/>
        </w:rPr>
        <w:t>olders were of the view that essential system services</w:t>
      </w:r>
      <w:r w:rsidRPr="00A11265">
        <w:rPr>
          <w:rFonts w:asciiTheme="minorHAnsi" w:hAnsiTheme="minorHAnsi" w:cs="Arial"/>
        </w:rPr>
        <w:t xml:space="preserve"> in each of the regulated systems were suitabl</w:t>
      </w:r>
      <w:r w:rsidR="00C3020E" w:rsidRPr="00A11265">
        <w:rPr>
          <w:rFonts w:asciiTheme="minorHAnsi" w:hAnsiTheme="minorHAnsi" w:cs="Arial"/>
        </w:rPr>
        <w:t>e for competitive</w:t>
      </w:r>
      <w:r w:rsidRPr="00A11265">
        <w:rPr>
          <w:rFonts w:asciiTheme="minorHAnsi" w:hAnsiTheme="minorHAnsi" w:cs="Arial"/>
        </w:rPr>
        <w:t xml:space="preserve"> provision. However, there were some differences in view between them as to the best way to structure the market(s) i</w:t>
      </w:r>
      <w:r w:rsidR="00CA7591" w:rsidRPr="00A11265">
        <w:rPr>
          <w:rFonts w:asciiTheme="minorHAnsi" w:hAnsiTheme="minorHAnsi" w:cs="Arial"/>
        </w:rPr>
        <w:t xml:space="preserve">n which services </w:t>
      </w:r>
      <w:r w:rsidR="005831E5">
        <w:rPr>
          <w:rFonts w:asciiTheme="minorHAnsi" w:hAnsiTheme="minorHAnsi" w:cs="Arial"/>
        </w:rPr>
        <w:t>are</w:t>
      </w:r>
      <w:r w:rsidR="00CA7591" w:rsidRPr="00A11265">
        <w:rPr>
          <w:rFonts w:asciiTheme="minorHAnsi" w:hAnsiTheme="minorHAnsi" w:cs="Arial"/>
        </w:rPr>
        <w:t xml:space="preserve"> procured.</w:t>
      </w:r>
    </w:p>
    <w:p w14:paraId="2F315800" w14:textId="1E6B843A" w:rsidR="00BF3C6E" w:rsidRPr="00A11265" w:rsidRDefault="00CA7591" w:rsidP="00BF3C6E">
      <w:pPr>
        <w:rPr>
          <w:rFonts w:asciiTheme="minorHAnsi" w:hAnsiTheme="minorHAnsi" w:cs="Arial"/>
        </w:rPr>
      </w:pPr>
      <w:r w:rsidRPr="00A11265">
        <w:rPr>
          <w:rFonts w:asciiTheme="minorHAnsi" w:hAnsiTheme="minorHAnsi" w:cs="Arial"/>
        </w:rPr>
        <w:t>T</w:t>
      </w:r>
      <w:r w:rsidR="006A704A">
        <w:rPr>
          <w:rFonts w:asciiTheme="minorHAnsi" w:hAnsiTheme="minorHAnsi" w:cs="Arial"/>
        </w:rPr>
        <w:noBreakHyphen/>
        <w:t>Gen</w:t>
      </w:r>
      <w:r w:rsidRPr="00A11265">
        <w:rPr>
          <w:rFonts w:asciiTheme="minorHAnsi" w:hAnsiTheme="minorHAnsi" w:cs="Arial"/>
        </w:rPr>
        <w:t xml:space="preserve"> submitted that all essential system services</w:t>
      </w:r>
      <w:r w:rsidR="00BF3C6E" w:rsidRPr="00A11265">
        <w:rPr>
          <w:rFonts w:asciiTheme="minorHAnsi" w:hAnsiTheme="minorHAnsi" w:cs="Arial"/>
        </w:rPr>
        <w:t xml:space="preserve"> currently provided by it could be provided by other providers in all the regulated power systems, but would need to be formally recognised as suppliers of those services. </w:t>
      </w:r>
      <w:proofErr w:type="spellStart"/>
      <w:r w:rsidR="00BF3C6E" w:rsidRPr="00A11265">
        <w:rPr>
          <w:rFonts w:asciiTheme="minorHAnsi" w:hAnsiTheme="minorHAnsi" w:cs="Arial"/>
        </w:rPr>
        <w:t>Epuron</w:t>
      </w:r>
      <w:proofErr w:type="spellEnd"/>
      <w:r w:rsidR="00BF3C6E" w:rsidRPr="00A11265">
        <w:rPr>
          <w:rFonts w:asciiTheme="minorHAnsi" w:hAnsiTheme="minorHAnsi" w:cs="Arial"/>
        </w:rPr>
        <w:t xml:space="preserve"> </w:t>
      </w:r>
      <w:r w:rsidR="00462D03" w:rsidRPr="00A11265">
        <w:rPr>
          <w:rFonts w:asciiTheme="minorHAnsi" w:hAnsiTheme="minorHAnsi" w:cs="Arial"/>
        </w:rPr>
        <w:t>expressed</w:t>
      </w:r>
      <w:r w:rsidR="00BF3C6E" w:rsidRPr="00A11265">
        <w:rPr>
          <w:rFonts w:asciiTheme="minorHAnsi" w:hAnsiTheme="minorHAnsi" w:cs="Arial"/>
        </w:rPr>
        <w:t xml:space="preserve"> a similar view.</w:t>
      </w:r>
    </w:p>
    <w:p w14:paraId="78F7FA35" w14:textId="19024285" w:rsidR="00BF3C6E" w:rsidRPr="00A11265" w:rsidRDefault="00BF3C6E" w:rsidP="00BF3C6E">
      <w:pPr>
        <w:rPr>
          <w:rFonts w:asciiTheme="minorHAnsi" w:hAnsiTheme="minorHAnsi" w:cs="Arial"/>
        </w:rPr>
      </w:pPr>
      <w:r w:rsidRPr="00A11265">
        <w:rPr>
          <w:rFonts w:asciiTheme="minorHAnsi" w:hAnsiTheme="minorHAnsi" w:cs="Arial"/>
        </w:rPr>
        <w:t xml:space="preserve">Regarding </w:t>
      </w:r>
      <w:r w:rsidR="005831E5">
        <w:rPr>
          <w:rFonts w:asciiTheme="minorHAnsi" w:hAnsiTheme="minorHAnsi" w:cs="Arial"/>
        </w:rPr>
        <w:t>the</w:t>
      </w:r>
      <w:r w:rsidRPr="00A11265">
        <w:rPr>
          <w:rFonts w:asciiTheme="minorHAnsi" w:hAnsiTheme="minorHAnsi" w:cs="Arial"/>
        </w:rPr>
        <w:t xml:space="preserve"> types of </w:t>
      </w:r>
      <w:r w:rsidR="0026424A" w:rsidRPr="00A11265">
        <w:rPr>
          <w:rFonts w:asciiTheme="minorHAnsi" w:hAnsiTheme="minorHAnsi" w:cs="Arial"/>
        </w:rPr>
        <w:t>essential system services</w:t>
      </w:r>
      <w:r w:rsidRPr="00A11265">
        <w:rPr>
          <w:rFonts w:asciiTheme="minorHAnsi" w:hAnsiTheme="minorHAnsi" w:cs="Arial"/>
        </w:rPr>
        <w:t xml:space="preserve"> most suitable for </w:t>
      </w:r>
      <w:r w:rsidR="0026424A" w:rsidRPr="00A11265">
        <w:rPr>
          <w:rFonts w:asciiTheme="minorHAnsi" w:hAnsiTheme="minorHAnsi" w:cs="Arial"/>
        </w:rPr>
        <w:t>competitive</w:t>
      </w:r>
      <w:r w:rsidR="00CA7591" w:rsidRPr="00A11265">
        <w:rPr>
          <w:rFonts w:asciiTheme="minorHAnsi" w:hAnsiTheme="minorHAnsi" w:cs="Arial"/>
        </w:rPr>
        <w:t xml:space="preserve"> provision and in which systems,</w:t>
      </w:r>
      <w:r w:rsidRPr="00A11265">
        <w:rPr>
          <w:rFonts w:asciiTheme="minorHAnsi" w:hAnsiTheme="minorHAnsi" w:cs="Arial"/>
        </w:rPr>
        <w:t xml:space="preserve"> </w:t>
      </w:r>
      <w:proofErr w:type="spellStart"/>
      <w:r w:rsidRPr="00A11265">
        <w:rPr>
          <w:rFonts w:asciiTheme="minorHAnsi" w:hAnsiTheme="minorHAnsi" w:cs="Arial"/>
        </w:rPr>
        <w:t>Epuron</w:t>
      </w:r>
      <w:proofErr w:type="spellEnd"/>
      <w:r w:rsidRPr="00A11265">
        <w:rPr>
          <w:rFonts w:asciiTheme="minorHAnsi" w:hAnsiTheme="minorHAnsi" w:cs="Arial"/>
        </w:rPr>
        <w:t xml:space="preserve"> stated:</w:t>
      </w:r>
    </w:p>
    <w:p w14:paraId="5C46C781" w14:textId="77777777" w:rsidR="00BF3C6E" w:rsidRPr="00A11265" w:rsidRDefault="00BF3C6E" w:rsidP="00BF3C6E">
      <w:pPr>
        <w:ind w:left="567" w:right="567"/>
        <w:rPr>
          <w:rFonts w:asciiTheme="minorHAnsi" w:hAnsiTheme="minorHAnsi" w:cs="Arial"/>
          <w:i/>
        </w:rPr>
      </w:pPr>
      <w:r w:rsidRPr="00A11265">
        <w:rPr>
          <w:rFonts w:asciiTheme="minorHAnsi" w:hAnsiTheme="minorHAnsi" w:cs="Arial"/>
          <w:i/>
        </w:rPr>
        <w:t>All types of ESS are required for all systems and should be able to be delivered by any registered generator. Specifying Territory Generation in the network code removes the opportunity for the market to deliver ESS at cheaper cost.</w:t>
      </w:r>
    </w:p>
    <w:p w14:paraId="226075CF" w14:textId="61EB3623" w:rsidR="00BF3C6E" w:rsidRPr="00A11265" w:rsidRDefault="00BF3C6E" w:rsidP="00BF3C6E">
      <w:pPr>
        <w:ind w:left="567" w:right="567"/>
        <w:rPr>
          <w:rFonts w:asciiTheme="minorHAnsi" w:hAnsiTheme="minorHAnsi" w:cs="Arial"/>
          <w:i/>
        </w:rPr>
      </w:pPr>
      <w:r w:rsidRPr="00A11265">
        <w:rPr>
          <w:rFonts w:asciiTheme="minorHAnsi" w:hAnsiTheme="minorHAnsi" w:cs="Arial"/>
          <w:i/>
        </w:rPr>
        <w:t xml:space="preserve">Private companies and Independent Power Producers (such as </w:t>
      </w:r>
      <w:proofErr w:type="spellStart"/>
      <w:r w:rsidRPr="00A11265">
        <w:rPr>
          <w:rFonts w:asciiTheme="minorHAnsi" w:hAnsiTheme="minorHAnsi" w:cs="Arial"/>
          <w:i/>
        </w:rPr>
        <w:t>Epuron</w:t>
      </w:r>
      <w:proofErr w:type="spellEnd"/>
      <w:r w:rsidRPr="00A11265">
        <w:rPr>
          <w:rFonts w:asciiTheme="minorHAnsi" w:hAnsiTheme="minorHAnsi" w:cs="Arial"/>
          <w:i/>
        </w:rPr>
        <w:t>) would like to have the opportunity to provide ESS to the market. However this would require the ability to directly procure an income stream from providing the ESS. At the moment TGEN is specified as the sole provider of ESS so this is not possible.</w:t>
      </w:r>
      <w:r w:rsidR="00BA265D">
        <w:rPr>
          <w:rStyle w:val="FootnoteReference"/>
          <w:rFonts w:asciiTheme="minorHAnsi" w:hAnsiTheme="minorHAnsi" w:cs="Arial"/>
          <w:i/>
        </w:rPr>
        <w:footnoteReference w:id="36"/>
      </w:r>
    </w:p>
    <w:p w14:paraId="5AF549DA" w14:textId="1E7B7D1A" w:rsidR="00BF3C6E" w:rsidRPr="00A11265" w:rsidRDefault="00CA7591" w:rsidP="00A23B49">
      <w:pPr>
        <w:keepNext/>
        <w:rPr>
          <w:rFonts w:asciiTheme="minorHAnsi" w:hAnsiTheme="minorHAnsi" w:cs="Arial"/>
        </w:rPr>
      </w:pPr>
      <w:r w:rsidRPr="00A11265">
        <w:rPr>
          <w:rFonts w:asciiTheme="minorHAnsi" w:hAnsiTheme="minorHAnsi" w:cs="Arial"/>
        </w:rPr>
        <w:lastRenderedPageBreak/>
        <w:t xml:space="preserve">Similarly, </w:t>
      </w:r>
      <w:r w:rsidR="00BF3C6E" w:rsidRPr="00A11265">
        <w:rPr>
          <w:rFonts w:asciiTheme="minorHAnsi" w:hAnsiTheme="minorHAnsi" w:cs="Arial"/>
        </w:rPr>
        <w:t>Jacana stated:</w:t>
      </w:r>
    </w:p>
    <w:p w14:paraId="0F1F0518" w14:textId="03BDD26A" w:rsidR="00BF3C6E" w:rsidRPr="00A11265" w:rsidRDefault="00BF3C6E" w:rsidP="00BF3C6E">
      <w:pPr>
        <w:ind w:left="567" w:right="567"/>
        <w:rPr>
          <w:rFonts w:asciiTheme="minorHAnsi" w:hAnsiTheme="minorHAnsi" w:cs="Arial"/>
          <w:i/>
        </w:rPr>
      </w:pPr>
      <w:r w:rsidRPr="00A11265">
        <w:rPr>
          <w:rFonts w:asciiTheme="minorHAnsi" w:hAnsiTheme="minorHAnsi" w:cs="Arial"/>
          <w:i/>
        </w:rPr>
        <w:t>In other markets in Australia, ESS is increasingly being provided through competitive markets and alternative technologies (e.g. synchronous condensers, standalone batteries, co-located renewables and batteries, and even standalone renewable facilities) are being used to provide these services. Relying on markets to procure and dispatch ESS is likely to result in the least cost mix of technologies being deployed to provide many of these services.</w:t>
      </w:r>
      <w:r w:rsidR="00BA265D">
        <w:rPr>
          <w:rStyle w:val="FootnoteReference"/>
          <w:rFonts w:asciiTheme="minorHAnsi" w:hAnsiTheme="minorHAnsi" w:cs="Arial"/>
          <w:i/>
        </w:rPr>
        <w:footnoteReference w:id="37"/>
      </w:r>
    </w:p>
    <w:p w14:paraId="4FF5C6B5" w14:textId="11C1CFDB" w:rsidR="0062480B" w:rsidRPr="00A11265" w:rsidRDefault="0062480B" w:rsidP="00D9724C">
      <w:pPr>
        <w:pStyle w:val="Heading3"/>
        <w:rPr>
          <w:szCs w:val="24"/>
          <w:lang w:eastAsia="en-AU"/>
        </w:rPr>
      </w:pPr>
      <w:r w:rsidRPr="00A11265">
        <w:rPr>
          <w:szCs w:val="24"/>
          <w:lang w:eastAsia="en-AU"/>
        </w:rPr>
        <w:t>Costs and benefits</w:t>
      </w:r>
      <w:r w:rsidR="00C3020E" w:rsidRPr="00A11265">
        <w:rPr>
          <w:szCs w:val="24"/>
          <w:lang w:eastAsia="en-AU"/>
        </w:rPr>
        <w:t xml:space="preserve"> of</w:t>
      </w:r>
      <w:r w:rsidRPr="00A11265">
        <w:rPr>
          <w:szCs w:val="24"/>
          <w:lang w:eastAsia="en-AU"/>
        </w:rPr>
        <w:t xml:space="preserve"> spot market</w:t>
      </w:r>
      <w:r w:rsidR="00C3020E" w:rsidRPr="00A11265">
        <w:rPr>
          <w:szCs w:val="24"/>
          <w:lang w:eastAsia="en-AU"/>
        </w:rPr>
        <w:t>s</w:t>
      </w:r>
    </w:p>
    <w:p w14:paraId="7C8977B6" w14:textId="06BEB246" w:rsidR="00BF3C6E" w:rsidRPr="00A11265" w:rsidRDefault="00BF3C6E" w:rsidP="00BF3C6E">
      <w:pPr>
        <w:rPr>
          <w:rFonts w:asciiTheme="minorHAnsi" w:hAnsiTheme="minorHAnsi" w:cs="Arial"/>
        </w:rPr>
      </w:pPr>
      <w:r w:rsidRPr="00A11265">
        <w:rPr>
          <w:rFonts w:asciiTheme="minorHAnsi" w:hAnsiTheme="minorHAnsi" w:cs="Arial"/>
        </w:rPr>
        <w:t>As stakeholders generally did not support the development of a spot market for the provision of ESS, many did not comment on the cost</w:t>
      </w:r>
      <w:r w:rsidR="00C84BCD">
        <w:rPr>
          <w:rFonts w:asciiTheme="minorHAnsi" w:hAnsiTheme="minorHAnsi" w:cs="Arial"/>
        </w:rPr>
        <w:t>s</w:t>
      </w:r>
      <w:r w:rsidRPr="00A11265">
        <w:rPr>
          <w:rFonts w:asciiTheme="minorHAnsi" w:hAnsiTheme="minorHAnsi" w:cs="Arial"/>
        </w:rPr>
        <w:t xml:space="preserve"> and benefits of spot market</w:t>
      </w:r>
      <w:r w:rsidR="00C84BCD">
        <w:rPr>
          <w:rFonts w:asciiTheme="minorHAnsi" w:hAnsiTheme="minorHAnsi" w:cs="Arial"/>
        </w:rPr>
        <w:t xml:space="preserve"> arrangements</w:t>
      </w:r>
      <w:r w:rsidRPr="00A11265">
        <w:rPr>
          <w:rFonts w:asciiTheme="minorHAnsi" w:hAnsiTheme="minorHAnsi" w:cs="Arial"/>
        </w:rPr>
        <w:t>.</w:t>
      </w:r>
    </w:p>
    <w:p w14:paraId="40C2848B" w14:textId="487AD576" w:rsidR="00BF3C6E" w:rsidRPr="00A11265" w:rsidRDefault="00BF3C6E" w:rsidP="00BF3C6E">
      <w:pPr>
        <w:rPr>
          <w:rFonts w:asciiTheme="minorHAnsi" w:hAnsiTheme="minorHAnsi" w:cs="Arial"/>
        </w:rPr>
      </w:pPr>
      <w:r w:rsidRPr="00A11265">
        <w:rPr>
          <w:rFonts w:asciiTheme="minorHAnsi" w:hAnsiTheme="minorHAnsi" w:cs="Arial"/>
        </w:rPr>
        <w:t>Sun Cable submitted that the potential anti-competitive outcomes of a spot market in small system</w:t>
      </w:r>
      <w:r w:rsidR="00F17647">
        <w:rPr>
          <w:rFonts w:asciiTheme="minorHAnsi" w:hAnsiTheme="minorHAnsi" w:cs="Arial"/>
        </w:rPr>
        <w:t>s</w:t>
      </w:r>
      <w:r w:rsidRPr="00A11265">
        <w:rPr>
          <w:rFonts w:asciiTheme="minorHAnsi" w:hAnsiTheme="minorHAnsi" w:cs="Arial"/>
        </w:rPr>
        <w:t xml:space="preserve">, such as those in the </w:t>
      </w:r>
      <w:r w:rsidR="00F17647">
        <w:rPr>
          <w:rFonts w:asciiTheme="minorHAnsi" w:hAnsiTheme="minorHAnsi" w:cs="Arial"/>
        </w:rPr>
        <w:t>NT</w:t>
      </w:r>
      <w:r w:rsidRPr="00A11265">
        <w:rPr>
          <w:rFonts w:asciiTheme="minorHAnsi" w:hAnsiTheme="minorHAnsi" w:cs="Arial"/>
        </w:rPr>
        <w:t>, may hinder th</w:t>
      </w:r>
      <w:r w:rsidR="00C3020E" w:rsidRPr="00A11265">
        <w:rPr>
          <w:rFonts w:asciiTheme="minorHAnsi" w:hAnsiTheme="minorHAnsi" w:cs="Arial"/>
        </w:rPr>
        <w:t>e lowest cost procurement of essential system services</w:t>
      </w:r>
      <w:r w:rsidRPr="00A11265">
        <w:rPr>
          <w:rFonts w:asciiTheme="minorHAnsi" w:hAnsiTheme="minorHAnsi" w:cs="Arial"/>
        </w:rPr>
        <w:t>. It was of the view that there are not enough participants in the short to medium term to ensure the effic</w:t>
      </w:r>
      <w:r w:rsidR="00CA7591" w:rsidRPr="00A11265">
        <w:rPr>
          <w:rFonts w:asciiTheme="minorHAnsi" w:hAnsiTheme="minorHAnsi" w:cs="Arial"/>
        </w:rPr>
        <w:t>ient operation of a spot market:</w:t>
      </w:r>
    </w:p>
    <w:p w14:paraId="0163930E" w14:textId="7D9598BA" w:rsidR="00BF3C6E" w:rsidRPr="00A11265" w:rsidRDefault="00BF3C6E" w:rsidP="00D9724C">
      <w:pPr>
        <w:ind w:left="567" w:right="567"/>
        <w:rPr>
          <w:rFonts w:asciiTheme="minorHAnsi" w:hAnsiTheme="minorHAnsi" w:cs="Arial"/>
          <w:i/>
        </w:rPr>
      </w:pPr>
      <w:r w:rsidRPr="00A11265">
        <w:rPr>
          <w:rFonts w:asciiTheme="minorHAnsi" w:hAnsiTheme="minorHAnsi" w:cs="Arial"/>
          <w:i/>
        </w:rPr>
        <w:t xml:space="preserve">… </w:t>
      </w:r>
      <w:proofErr w:type="gramStart"/>
      <w:r w:rsidRPr="00A11265">
        <w:rPr>
          <w:rFonts w:asciiTheme="minorHAnsi" w:hAnsiTheme="minorHAnsi" w:cs="Arial"/>
          <w:i/>
        </w:rPr>
        <w:t>a</w:t>
      </w:r>
      <w:proofErr w:type="gramEnd"/>
      <w:r w:rsidRPr="00A11265">
        <w:rPr>
          <w:rFonts w:asciiTheme="minorHAnsi" w:hAnsiTheme="minorHAnsi" w:cs="Arial"/>
          <w:i/>
        </w:rPr>
        <w:t xml:space="preserve"> spot market built on a monopoly (featuring only Territory Generation) or an oligopoly (featuring, for example, Territory Generation, Sun Cable and one or two other participants) may enable the exercise of extreme market power, which would be to the detriment of both consumers and generators </w:t>
      </w:r>
      <w:r w:rsidR="00C3020E" w:rsidRPr="00A11265">
        <w:rPr>
          <w:rFonts w:asciiTheme="minorHAnsi" w:hAnsiTheme="minorHAnsi" w:cs="Arial"/>
          <w:i/>
        </w:rPr>
        <w:t xml:space="preserve">… </w:t>
      </w:r>
      <w:r w:rsidR="00BA265D">
        <w:rPr>
          <w:rStyle w:val="FootnoteReference"/>
          <w:rFonts w:asciiTheme="minorHAnsi" w:hAnsiTheme="minorHAnsi" w:cs="Arial"/>
          <w:i/>
        </w:rPr>
        <w:footnoteReference w:id="38"/>
      </w:r>
    </w:p>
    <w:p w14:paraId="640D294B" w14:textId="093D276D" w:rsidR="00BF3C6E" w:rsidRPr="00A11265" w:rsidRDefault="00490022" w:rsidP="00BF3C6E">
      <w:pPr>
        <w:rPr>
          <w:rFonts w:asciiTheme="minorHAnsi" w:hAnsiTheme="minorHAnsi" w:cs="Arial"/>
        </w:rPr>
      </w:pPr>
      <w:r w:rsidRPr="00A11265">
        <w:rPr>
          <w:rFonts w:asciiTheme="minorHAnsi" w:hAnsiTheme="minorHAnsi" w:cs="Arial"/>
        </w:rPr>
        <w:t>Additionally, Sun Cable</w:t>
      </w:r>
      <w:r w:rsidR="00BF3C6E" w:rsidRPr="00A11265">
        <w:rPr>
          <w:rFonts w:asciiTheme="minorHAnsi" w:hAnsiTheme="minorHAnsi" w:cs="Arial"/>
        </w:rPr>
        <w:t xml:space="preserve"> was of the view that large-scale capital investments, tha</w:t>
      </w:r>
      <w:r w:rsidR="00C3020E" w:rsidRPr="00A11265">
        <w:rPr>
          <w:rFonts w:asciiTheme="minorHAnsi" w:hAnsiTheme="minorHAnsi" w:cs="Arial"/>
        </w:rPr>
        <w:t>t may be required to deliver essential system services</w:t>
      </w:r>
      <w:r w:rsidR="00BF3C6E" w:rsidRPr="00A11265">
        <w:rPr>
          <w:rFonts w:asciiTheme="minorHAnsi" w:hAnsiTheme="minorHAnsi" w:cs="Arial"/>
        </w:rPr>
        <w:t>, are rarely made on a spot market merchant basis.</w:t>
      </w:r>
    </w:p>
    <w:p w14:paraId="67F61EB3" w14:textId="270A3B7C" w:rsidR="00BF3C6E" w:rsidRPr="00A11265" w:rsidRDefault="0059694D" w:rsidP="00BF3C6E">
      <w:pPr>
        <w:rPr>
          <w:rFonts w:asciiTheme="minorHAnsi" w:hAnsiTheme="minorHAnsi" w:cs="Arial"/>
        </w:rPr>
      </w:pPr>
      <w:r w:rsidRPr="00A11265">
        <w:rPr>
          <w:rFonts w:asciiTheme="minorHAnsi" w:hAnsiTheme="minorHAnsi" w:cs="Arial"/>
        </w:rPr>
        <w:t>T-Gen submitted</w:t>
      </w:r>
      <w:r w:rsidR="00C3020E" w:rsidRPr="00A11265">
        <w:rPr>
          <w:rFonts w:asciiTheme="minorHAnsi" w:hAnsiTheme="minorHAnsi" w:cs="Arial"/>
        </w:rPr>
        <w:t xml:space="preserve"> that the costs of providing essential system services</w:t>
      </w:r>
      <w:r w:rsidR="00BF3C6E" w:rsidRPr="00A11265">
        <w:rPr>
          <w:rFonts w:asciiTheme="minorHAnsi" w:hAnsiTheme="minorHAnsi" w:cs="Arial"/>
        </w:rPr>
        <w:t xml:space="preserve"> through a spot market are unlikely to be lower than the current arrangements</w:t>
      </w:r>
      <w:r w:rsidR="00172879" w:rsidRPr="00A11265">
        <w:rPr>
          <w:rFonts w:asciiTheme="minorHAnsi" w:hAnsiTheme="minorHAnsi" w:cs="Arial"/>
        </w:rPr>
        <w:t>,</w:t>
      </w:r>
      <w:r w:rsidR="00BF3C6E" w:rsidRPr="00A11265">
        <w:rPr>
          <w:rFonts w:asciiTheme="minorHAnsi" w:hAnsiTheme="minorHAnsi" w:cs="Arial"/>
        </w:rPr>
        <w:t xml:space="preserve"> because of the nee</w:t>
      </w:r>
      <w:r w:rsidR="00172879" w:rsidRPr="00A11265">
        <w:rPr>
          <w:rFonts w:asciiTheme="minorHAnsi" w:hAnsiTheme="minorHAnsi" w:cs="Arial"/>
        </w:rPr>
        <w:t>d to set up a 24/7 trading desk</w:t>
      </w:r>
      <w:r w:rsidR="00BF3C6E" w:rsidRPr="00A11265">
        <w:rPr>
          <w:rFonts w:asciiTheme="minorHAnsi" w:hAnsiTheme="minorHAnsi" w:cs="Arial"/>
        </w:rPr>
        <w:t xml:space="preserve"> and because one or more services may still need to be provided by a synchronous generator, which would increase the costs associated with providing that service. It also raised the risk that there may be no ge</w:t>
      </w:r>
      <w:r w:rsidR="00172879" w:rsidRPr="00A11265">
        <w:rPr>
          <w:rFonts w:asciiTheme="minorHAnsi" w:hAnsiTheme="minorHAnsi" w:cs="Arial"/>
        </w:rPr>
        <w:t>nerator to provide energy or essential system services</w:t>
      </w:r>
      <w:r w:rsidR="00BF3C6E" w:rsidRPr="00A11265">
        <w:rPr>
          <w:rFonts w:asciiTheme="minorHAnsi" w:hAnsiTheme="minorHAnsi" w:cs="Arial"/>
        </w:rPr>
        <w:t>.</w:t>
      </w:r>
    </w:p>
    <w:p w14:paraId="4E98C216" w14:textId="100A54F9" w:rsidR="00373BFF" w:rsidRPr="00A11265" w:rsidRDefault="00373BFF" w:rsidP="00BF3C6E">
      <w:pPr>
        <w:rPr>
          <w:rFonts w:asciiTheme="minorHAnsi" w:hAnsiTheme="minorHAnsi" w:cs="Arial"/>
        </w:rPr>
      </w:pPr>
      <w:r w:rsidRPr="00A11265">
        <w:rPr>
          <w:rFonts w:asciiTheme="minorHAnsi" w:hAnsiTheme="minorHAnsi" w:cs="Arial"/>
        </w:rPr>
        <w:t>Eni Australia’s response was focused on the Darwin</w:t>
      </w:r>
      <w:r w:rsidRPr="00A11265">
        <w:rPr>
          <w:rFonts w:asciiTheme="minorHAnsi" w:hAnsiTheme="minorHAnsi" w:cs="Arial"/>
        </w:rPr>
        <w:noBreakHyphen/>
        <w:t>Katherine system. It was of the view that the scale of Darwin</w:t>
      </w:r>
      <w:r w:rsidRPr="00A11265">
        <w:rPr>
          <w:rFonts w:asciiTheme="minorHAnsi" w:hAnsiTheme="minorHAnsi" w:cs="Arial"/>
        </w:rPr>
        <w:noBreakHyphen/>
        <w:t>Katherine does not justify full spot market provision.</w:t>
      </w:r>
    </w:p>
    <w:p w14:paraId="6E43EB7D" w14:textId="10D80CD9" w:rsidR="00BF3C6E" w:rsidRPr="00A11265" w:rsidRDefault="00BF3C6E" w:rsidP="00CB560D">
      <w:pPr>
        <w:rPr>
          <w:rFonts w:asciiTheme="minorHAnsi" w:hAnsiTheme="minorHAnsi" w:cs="Arial"/>
        </w:rPr>
      </w:pPr>
      <w:proofErr w:type="spellStart"/>
      <w:r w:rsidRPr="00A11265">
        <w:rPr>
          <w:rFonts w:asciiTheme="minorHAnsi" w:hAnsiTheme="minorHAnsi" w:cs="Arial"/>
        </w:rPr>
        <w:t>Epuron</w:t>
      </w:r>
      <w:proofErr w:type="spellEnd"/>
      <w:r w:rsidRPr="00A11265">
        <w:rPr>
          <w:rFonts w:asciiTheme="minorHAnsi" w:hAnsiTheme="minorHAnsi" w:cs="Arial"/>
        </w:rPr>
        <w:t xml:space="preserve"> wa</w:t>
      </w:r>
      <w:r w:rsidR="00172879" w:rsidRPr="00A11265">
        <w:rPr>
          <w:rFonts w:asciiTheme="minorHAnsi" w:hAnsiTheme="minorHAnsi" w:cs="Arial"/>
        </w:rPr>
        <w:t>s of the view that procuring essential system services</w:t>
      </w:r>
      <w:r w:rsidRPr="00A11265">
        <w:rPr>
          <w:rFonts w:asciiTheme="minorHAnsi" w:hAnsiTheme="minorHAnsi" w:cs="Arial"/>
        </w:rPr>
        <w:t xml:space="preserve"> through a spot market would be </w:t>
      </w:r>
      <w:r w:rsidR="006B4AB0" w:rsidRPr="00A11265">
        <w:rPr>
          <w:rFonts w:asciiTheme="minorHAnsi" w:hAnsiTheme="minorHAnsi" w:cs="Arial"/>
        </w:rPr>
        <w:t>the lowest cost provision of essential system services</w:t>
      </w:r>
      <w:r w:rsidRPr="00A11265">
        <w:rPr>
          <w:rFonts w:asciiTheme="minorHAnsi" w:hAnsiTheme="minorHAnsi" w:cs="Arial"/>
        </w:rPr>
        <w:t>, however</w:t>
      </w:r>
      <w:r w:rsidR="00447C97" w:rsidRPr="00A11265">
        <w:rPr>
          <w:rFonts w:asciiTheme="minorHAnsi" w:hAnsiTheme="minorHAnsi" w:cs="Arial"/>
        </w:rPr>
        <w:t xml:space="preserve"> suggested</w:t>
      </w:r>
      <w:r w:rsidRPr="00A11265">
        <w:rPr>
          <w:rFonts w:asciiTheme="minorHAnsi" w:hAnsiTheme="minorHAnsi" w:cs="Arial"/>
        </w:rPr>
        <w:t xml:space="preserve"> the overhead costs associated with doing so would be high.</w:t>
      </w:r>
    </w:p>
    <w:p w14:paraId="51CCB96A" w14:textId="22387AC5" w:rsidR="00373BFF" w:rsidRPr="00A11265" w:rsidRDefault="00373BFF" w:rsidP="00373BFF">
      <w:pPr>
        <w:rPr>
          <w:rFonts w:asciiTheme="minorHAnsi" w:hAnsiTheme="minorHAnsi" w:cs="Arial"/>
        </w:rPr>
      </w:pPr>
      <w:r w:rsidRPr="00A11265">
        <w:rPr>
          <w:rFonts w:asciiTheme="minorHAnsi" w:hAnsiTheme="minorHAnsi" w:cs="Arial"/>
        </w:rPr>
        <w:t>Only Jacana stated clear support for frequency control services to be provided through spot markets</w:t>
      </w:r>
      <w:r w:rsidR="00447C97" w:rsidRPr="00A11265">
        <w:rPr>
          <w:rFonts w:asciiTheme="minorHAnsi" w:hAnsiTheme="minorHAnsi" w:cs="Arial"/>
        </w:rPr>
        <w:t xml:space="preserve">, </w:t>
      </w:r>
      <w:r w:rsidR="00D37941" w:rsidRPr="00A11265">
        <w:rPr>
          <w:rFonts w:asciiTheme="minorHAnsi" w:hAnsiTheme="minorHAnsi" w:cs="Arial"/>
        </w:rPr>
        <w:t>while other services a</w:t>
      </w:r>
      <w:r w:rsidRPr="00A11265">
        <w:rPr>
          <w:rFonts w:asciiTheme="minorHAnsi" w:hAnsiTheme="minorHAnsi" w:cs="Arial"/>
        </w:rPr>
        <w:t>re better acquired through competiti</w:t>
      </w:r>
      <w:r w:rsidR="00D37941" w:rsidRPr="00A11265">
        <w:rPr>
          <w:rFonts w:asciiTheme="minorHAnsi" w:hAnsiTheme="minorHAnsi" w:cs="Arial"/>
        </w:rPr>
        <w:t>ve tender arrangements. It suggested</w:t>
      </w:r>
      <w:r w:rsidRPr="00A11265">
        <w:rPr>
          <w:rFonts w:asciiTheme="minorHAnsi" w:hAnsiTheme="minorHAnsi" w:cs="Arial"/>
        </w:rPr>
        <w:t xml:space="preserve"> that competition with T-Gen for the provision of essential system services will increase gradually over time with the retirement of T</w:t>
      </w:r>
      <w:r w:rsidR="00D37941" w:rsidRPr="00A11265">
        <w:rPr>
          <w:rFonts w:asciiTheme="minorHAnsi" w:hAnsiTheme="minorHAnsi" w:cs="Arial"/>
        </w:rPr>
        <w:t>-Gen</w:t>
      </w:r>
      <w:r w:rsidRPr="00A11265">
        <w:rPr>
          <w:rFonts w:asciiTheme="minorHAnsi" w:hAnsiTheme="minorHAnsi" w:cs="Arial"/>
        </w:rPr>
        <w:t xml:space="preserve"> units and increased investment by others.</w:t>
      </w:r>
    </w:p>
    <w:p w14:paraId="270E2CAE" w14:textId="4BEF60DC" w:rsidR="0062480B" w:rsidRPr="00A11265" w:rsidRDefault="0062480B" w:rsidP="00074521">
      <w:pPr>
        <w:pStyle w:val="Heading3"/>
        <w:keepNext/>
        <w:rPr>
          <w:szCs w:val="24"/>
          <w:lang w:eastAsia="en-AU"/>
        </w:rPr>
      </w:pPr>
      <w:r w:rsidRPr="00A11265">
        <w:rPr>
          <w:szCs w:val="24"/>
          <w:lang w:eastAsia="en-AU"/>
        </w:rPr>
        <w:t>Appropriate service provision framework</w:t>
      </w:r>
    </w:p>
    <w:p w14:paraId="03088EC4" w14:textId="2B5BDB66" w:rsidR="00BF3C6E" w:rsidRPr="00A11265" w:rsidRDefault="00BF3C6E" w:rsidP="00BF3C6E">
      <w:pPr>
        <w:rPr>
          <w:rFonts w:asciiTheme="minorHAnsi" w:hAnsiTheme="minorHAnsi" w:cs="Arial"/>
        </w:rPr>
      </w:pPr>
      <w:r w:rsidRPr="00A11265">
        <w:rPr>
          <w:rFonts w:asciiTheme="minorHAnsi" w:hAnsiTheme="minorHAnsi" w:cs="Arial"/>
        </w:rPr>
        <w:t>Stakeholder views on the appropriate service provision framework varied.</w:t>
      </w:r>
    </w:p>
    <w:p w14:paraId="7A599532" w14:textId="72BABA7C" w:rsidR="00BF3C6E" w:rsidRPr="00A11265" w:rsidRDefault="00BF3C6E" w:rsidP="00BF3C6E">
      <w:pPr>
        <w:rPr>
          <w:rFonts w:asciiTheme="minorHAnsi" w:hAnsiTheme="minorHAnsi" w:cs="Arial"/>
        </w:rPr>
      </w:pPr>
      <w:r w:rsidRPr="00A11265">
        <w:rPr>
          <w:rFonts w:asciiTheme="minorHAnsi" w:hAnsiTheme="minorHAnsi" w:cs="Arial"/>
        </w:rPr>
        <w:t>T-Gen was of the view that a</w:t>
      </w:r>
      <w:r w:rsidR="006B4AB0" w:rsidRPr="00A11265">
        <w:rPr>
          <w:rFonts w:asciiTheme="minorHAnsi" w:hAnsiTheme="minorHAnsi" w:cs="Arial"/>
        </w:rPr>
        <w:t>ll essential system services</w:t>
      </w:r>
      <w:r w:rsidRPr="00A11265">
        <w:rPr>
          <w:rFonts w:asciiTheme="minorHAnsi" w:hAnsiTheme="minorHAnsi" w:cs="Arial"/>
        </w:rPr>
        <w:t xml:space="preserve"> should be provided centrally until all services can be supplied independently.</w:t>
      </w:r>
    </w:p>
    <w:p w14:paraId="5810FEFF" w14:textId="0F8402C7" w:rsidR="00BF3C6E" w:rsidRPr="00A11265" w:rsidRDefault="00BF3C6E" w:rsidP="00F51F16">
      <w:pPr>
        <w:rPr>
          <w:rFonts w:asciiTheme="minorHAnsi" w:hAnsiTheme="minorHAnsi" w:cs="Arial"/>
        </w:rPr>
      </w:pPr>
      <w:r w:rsidRPr="00A11265">
        <w:rPr>
          <w:rFonts w:asciiTheme="minorHAnsi" w:hAnsiTheme="minorHAnsi" w:cs="Arial"/>
        </w:rPr>
        <w:lastRenderedPageBreak/>
        <w:t>Eni</w:t>
      </w:r>
      <w:r w:rsidR="00DA44B5">
        <w:rPr>
          <w:rFonts w:asciiTheme="minorHAnsi" w:hAnsiTheme="minorHAnsi" w:cs="Arial"/>
        </w:rPr>
        <w:t xml:space="preserve"> Australia</w:t>
      </w:r>
      <w:r w:rsidRPr="00A11265">
        <w:rPr>
          <w:rFonts w:asciiTheme="minorHAnsi" w:hAnsiTheme="minorHAnsi" w:cs="Arial"/>
        </w:rPr>
        <w:t xml:space="preserve"> submitted that there sho</w:t>
      </w:r>
      <w:r w:rsidR="006B4AB0" w:rsidRPr="00A11265">
        <w:rPr>
          <w:rFonts w:asciiTheme="minorHAnsi" w:hAnsiTheme="minorHAnsi" w:cs="Arial"/>
        </w:rPr>
        <w:t>uld be a default provider of essential system services that should not be T</w:t>
      </w:r>
      <w:r w:rsidR="006B4AB0" w:rsidRPr="00A11265">
        <w:rPr>
          <w:rFonts w:asciiTheme="minorHAnsi" w:hAnsiTheme="minorHAnsi" w:cs="Arial"/>
        </w:rPr>
        <w:noBreakHyphen/>
      </w:r>
      <w:r w:rsidRPr="00A11265">
        <w:rPr>
          <w:rFonts w:asciiTheme="minorHAnsi" w:hAnsiTheme="minorHAnsi" w:cs="Arial"/>
        </w:rPr>
        <w:t>Gen. The private providers should be given the opportunity to bid into a competitive procurement process t</w:t>
      </w:r>
      <w:r w:rsidR="006B4AB0" w:rsidRPr="00A11265">
        <w:rPr>
          <w:rFonts w:asciiTheme="minorHAnsi" w:hAnsiTheme="minorHAnsi" w:cs="Arial"/>
        </w:rPr>
        <w:t>o provide the services over</w:t>
      </w:r>
      <w:r w:rsidR="00373BFF" w:rsidRPr="00A11265">
        <w:rPr>
          <w:rFonts w:asciiTheme="minorHAnsi" w:hAnsiTheme="minorHAnsi" w:cs="Arial"/>
        </w:rPr>
        <w:t xml:space="preserve"> a</w:t>
      </w:r>
      <w:r w:rsidR="006B4AB0" w:rsidRPr="00A11265">
        <w:rPr>
          <w:rFonts w:asciiTheme="minorHAnsi" w:hAnsiTheme="minorHAnsi" w:cs="Arial"/>
        </w:rPr>
        <w:t xml:space="preserve"> ten year period, which it considered</w:t>
      </w:r>
      <w:r w:rsidRPr="00A11265">
        <w:rPr>
          <w:rFonts w:asciiTheme="minorHAnsi" w:hAnsiTheme="minorHAnsi" w:cs="Arial"/>
        </w:rPr>
        <w:t xml:space="preserve"> would be</w:t>
      </w:r>
      <w:r w:rsidR="00373BFF" w:rsidRPr="00A11265">
        <w:rPr>
          <w:rFonts w:asciiTheme="minorHAnsi" w:hAnsiTheme="minorHAnsi" w:cs="Arial"/>
        </w:rPr>
        <w:t xml:space="preserve"> ‘</w:t>
      </w:r>
      <w:r w:rsidRPr="00A11265">
        <w:rPr>
          <w:rFonts w:asciiTheme="minorHAnsi" w:hAnsiTheme="minorHAnsi" w:cs="Arial"/>
          <w:i/>
        </w:rPr>
        <w:t xml:space="preserve">… an appropriate compromise between competitive tension on the one hand and capital recovery </w:t>
      </w:r>
      <w:r w:rsidR="006B4AB0" w:rsidRPr="00A11265">
        <w:rPr>
          <w:rFonts w:asciiTheme="minorHAnsi" w:hAnsiTheme="minorHAnsi" w:cs="Arial"/>
          <w:i/>
        </w:rPr>
        <w:t>for the proponent on the other</w:t>
      </w:r>
      <w:r w:rsidR="00373BFF" w:rsidRPr="00A11265">
        <w:rPr>
          <w:rFonts w:asciiTheme="minorHAnsi" w:hAnsiTheme="minorHAnsi" w:cs="Arial"/>
          <w:i/>
        </w:rPr>
        <w:t>’</w:t>
      </w:r>
      <w:r w:rsidR="00BA265D">
        <w:rPr>
          <w:rStyle w:val="FootnoteReference"/>
          <w:rFonts w:asciiTheme="minorHAnsi" w:hAnsiTheme="minorHAnsi" w:cs="Arial"/>
        </w:rPr>
        <w:footnoteReference w:id="39"/>
      </w:r>
      <w:r w:rsidR="004E6AAF">
        <w:rPr>
          <w:rFonts w:asciiTheme="minorHAnsi" w:hAnsiTheme="minorHAnsi" w:cs="Arial"/>
        </w:rPr>
        <w:t>.</w:t>
      </w:r>
    </w:p>
    <w:p w14:paraId="0E7D660E" w14:textId="3043AEDB" w:rsidR="00BF3C6E" w:rsidRPr="00A11265" w:rsidRDefault="002715A8" w:rsidP="00BF3C6E">
      <w:pPr>
        <w:rPr>
          <w:rFonts w:asciiTheme="minorHAnsi" w:hAnsiTheme="minorHAnsi" w:cs="Arial"/>
        </w:rPr>
      </w:pPr>
      <w:r w:rsidRPr="00A11265">
        <w:rPr>
          <w:rFonts w:asciiTheme="minorHAnsi" w:hAnsiTheme="minorHAnsi" w:cs="Arial"/>
        </w:rPr>
        <w:t>Eni</w:t>
      </w:r>
      <w:r w:rsidR="00DA44B5">
        <w:rPr>
          <w:rFonts w:asciiTheme="minorHAnsi" w:hAnsiTheme="minorHAnsi" w:cs="Arial"/>
        </w:rPr>
        <w:t xml:space="preserve"> Australia</w:t>
      </w:r>
      <w:r w:rsidR="00BF3C6E" w:rsidRPr="00A11265">
        <w:rPr>
          <w:rFonts w:asciiTheme="minorHAnsi" w:hAnsiTheme="minorHAnsi" w:cs="Arial"/>
        </w:rPr>
        <w:t xml:space="preserve"> was also of the view that the development of a new battery announced by the Government should be the subject of a competitive procurement process. </w:t>
      </w:r>
      <w:r w:rsidR="00373BFF" w:rsidRPr="00A11265">
        <w:rPr>
          <w:rFonts w:asciiTheme="minorHAnsi" w:hAnsiTheme="minorHAnsi" w:cs="Arial"/>
        </w:rPr>
        <w:t>It considered that if</w:t>
      </w:r>
      <w:r w:rsidR="00BF3C6E" w:rsidRPr="00A11265">
        <w:rPr>
          <w:rFonts w:asciiTheme="minorHAnsi" w:hAnsiTheme="minorHAnsi" w:cs="Arial"/>
        </w:rPr>
        <w:t xml:space="preserve"> the battery is to be built by T-Gen to provide </w:t>
      </w:r>
      <w:r w:rsidR="00C2278B" w:rsidRPr="00A11265">
        <w:rPr>
          <w:rFonts w:asciiTheme="minorHAnsi" w:hAnsiTheme="minorHAnsi" w:cs="Arial"/>
        </w:rPr>
        <w:t>essential system services</w:t>
      </w:r>
      <w:r w:rsidR="00BF3C6E" w:rsidRPr="00A11265">
        <w:rPr>
          <w:rFonts w:asciiTheme="minorHAnsi" w:hAnsiTheme="minorHAnsi" w:cs="Arial"/>
        </w:rPr>
        <w:t xml:space="preserve">, </w:t>
      </w:r>
      <w:r w:rsidR="003A4F3E" w:rsidRPr="00A11265">
        <w:rPr>
          <w:rFonts w:asciiTheme="minorHAnsi" w:hAnsiTheme="minorHAnsi" w:cs="Arial"/>
        </w:rPr>
        <w:t xml:space="preserve">it </w:t>
      </w:r>
      <w:r w:rsidR="00BF3C6E" w:rsidRPr="00A11265">
        <w:rPr>
          <w:rFonts w:asciiTheme="minorHAnsi" w:hAnsiTheme="minorHAnsi" w:cs="Arial"/>
        </w:rPr>
        <w:t xml:space="preserve">should not be a barrier to the development of a competitive market for the provision of </w:t>
      </w:r>
      <w:r w:rsidR="00373BFF" w:rsidRPr="00A11265">
        <w:rPr>
          <w:rFonts w:asciiTheme="minorHAnsi" w:hAnsiTheme="minorHAnsi" w:cs="Arial"/>
        </w:rPr>
        <w:t>essential system services</w:t>
      </w:r>
      <w:r w:rsidR="00BF3C6E" w:rsidRPr="00A11265">
        <w:rPr>
          <w:rFonts w:asciiTheme="minorHAnsi" w:hAnsiTheme="minorHAnsi" w:cs="Arial"/>
        </w:rPr>
        <w:t>.</w:t>
      </w:r>
    </w:p>
    <w:p w14:paraId="2FCA37C8" w14:textId="7DFC8F20" w:rsidR="00BF3C6E" w:rsidRPr="00A11265" w:rsidRDefault="00BF3C6E" w:rsidP="00BF3C6E">
      <w:pPr>
        <w:rPr>
          <w:rFonts w:asciiTheme="minorHAnsi" w:hAnsiTheme="minorHAnsi" w:cs="Arial"/>
        </w:rPr>
      </w:pPr>
      <w:r w:rsidRPr="00A11265">
        <w:rPr>
          <w:rFonts w:asciiTheme="minorHAnsi" w:hAnsiTheme="minorHAnsi" w:cs="Arial"/>
        </w:rPr>
        <w:t xml:space="preserve">Sun Cable </w:t>
      </w:r>
      <w:r w:rsidR="00B02F39" w:rsidRPr="00A11265">
        <w:rPr>
          <w:rFonts w:asciiTheme="minorHAnsi" w:hAnsiTheme="minorHAnsi" w:cs="Arial"/>
        </w:rPr>
        <w:t>suggested</w:t>
      </w:r>
      <w:r w:rsidRPr="00A11265">
        <w:rPr>
          <w:rFonts w:asciiTheme="minorHAnsi" w:hAnsiTheme="minorHAnsi" w:cs="Arial"/>
        </w:rPr>
        <w:t xml:space="preserve"> that frequency control essential </w:t>
      </w:r>
      <w:r w:rsidR="00447C97" w:rsidRPr="00A11265">
        <w:rPr>
          <w:rFonts w:asciiTheme="minorHAnsi" w:hAnsiTheme="minorHAnsi" w:cs="Arial"/>
        </w:rPr>
        <w:t xml:space="preserve">system </w:t>
      </w:r>
      <w:r w:rsidRPr="00A11265">
        <w:rPr>
          <w:rFonts w:asciiTheme="minorHAnsi" w:hAnsiTheme="minorHAnsi" w:cs="Arial"/>
        </w:rPr>
        <w:t xml:space="preserve">services be procured through bilateral contracts, which could be negotiated on an individual or over-the-counter bilateral basis, or administered via a regulated market mechanism, such as a reverse auction mechanism, with a contingency </w:t>
      </w:r>
      <w:r w:rsidR="00B02F39" w:rsidRPr="00A11265">
        <w:rPr>
          <w:rFonts w:asciiTheme="minorHAnsi" w:hAnsiTheme="minorHAnsi" w:cs="Arial"/>
        </w:rPr>
        <w:t>essential system services</w:t>
      </w:r>
      <w:r w:rsidRPr="00A11265">
        <w:rPr>
          <w:rFonts w:asciiTheme="minorHAnsi" w:hAnsiTheme="minorHAnsi" w:cs="Arial"/>
        </w:rPr>
        <w:t xml:space="preserve"> supplier of last resort. It proposed that system restart services be open to procurement from third parties with relatively long-term contracting to assist investment decisions.</w:t>
      </w:r>
    </w:p>
    <w:p w14:paraId="5B3E6D54" w14:textId="1109F5B7" w:rsidR="0062480B" w:rsidRPr="00A11265" w:rsidRDefault="00BF3C6E" w:rsidP="00BF3C6E">
      <w:pPr>
        <w:rPr>
          <w:rFonts w:asciiTheme="minorHAnsi" w:hAnsiTheme="minorHAnsi" w:cs="Arial"/>
        </w:rPr>
      </w:pPr>
      <w:r w:rsidRPr="00A11265">
        <w:rPr>
          <w:rFonts w:asciiTheme="minorHAnsi" w:hAnsiTheme="minorHAnsi" w:cs="Arial"/>
        </w:rPr>
        <w:t>Jacana proposed the arrangements for each type o</w:t>
      </w:r>
      <w:r w:rsidR="00BC44A7" w:rsidRPr="00A11265">
        <w:rPr>
          <w:rFonts w:asciiTheme="minorHAnsi" w:hAnsiTheme="minorHAnsi" w:cs="Arial"/>
        </w:rPr>
        <w:t xml:space="preserve">f service as set out in Table </w:t>
      </w:r>
      <w:r w:rsidR="00F10663" w:rsidRPr="00A11265">
        <w:rPr>
          <w:rFonts w:asciiTheme="minorHAnsi" w:hAnsiTheme="minorHAnsi" w:cs="Arial"/>
        </w:rPr>
        <w:t>4</w:t>
      </w:r>
      <w:r w:rsidR="00C2278B" w:rsidRPr="00A11265">
        <w:rPr>
          <w:rFonts w:asciiTheme="minorHAnsi" w:hAnsiTheme="minorHAnsi" w:cs="Arial"/>
        </w:rPr>
        <w:t>-1.</w:t>
      </w:r>
    </w:p>
    <w:p w14:paraId="3B9FA48D" w14:textId="77EA68D5" w:rsidR="00C2278B" w:rsidRPr="00AA4D6E" w:rsidRDefault="00F10663" w:rsidP="00C2278B">
      <w:pPr>
        <w:keepNext/>
        <w:spacing w:after="0"/>
        <w:rPr>
          <w:rFonts w:asciiTheme="minorHAnsi" w:hAnsiTheme="minorHAnsi" w:cs="Arial"/>
          <w:b/>
        </w:rPr>
      </w:pPr>
      <w:r w:rsidRPr="00AA4D6E">
        <w:rPr>
          <w:rFonts w:asciiTheme="minorHAnsi" w:hAnsiTheme="minorHAnsi" w:cs="Arial"/>
          <w:b/>
        </w:rPr>
        <w:t>Table 4</w:t>
      </w:r>
      <w:r w:rsidR="00C2278B" w:rsidRPr="00AA4D6E">
        <w:rPr>
          <w:rFonts w:asciiTheme="minorHAnsi" w:hAnsiTheme="minorHAnsi" w:cs="Arial"/>
          <w:b/>
        </w:rPr>
        <w:t>-1</w:t>
      </w:r>
      <w:r w:rsidR="00C2278B" w:rsidRPr="00AA4D6E">
        <w:rPr>
          <w:rFonts w:asciiTheme="minorHAnsi" w:hAnsiTheme="minorHAnsi" w:cs="Arial"/>
          <w:b/>
        </w:rPr>
        <w:tab/>
        <w:t>Service provision framework proposed by Jacana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5926"/>
      </w:tblGrid>
      <w:tr w:rsidR="00C2278B" w:rsidRPr="00AA4D6E" w14:paraId="22BDD880" w14:textId="77777777" w:rsidTr="00D24B1D">
        <w:trPr>
          <w:tblHeader/>
        </w:trPr>
        <w:tc>
          <w:tcPr>
            <w:tcW w:w="0" w:type="auto"/>
            <w:tcBorders>
              <w:top w:val="single" w:sz="4" w:space="0" w:color="auto"/>
              <w:bottom w:val="single" w:sz="4" w:space="0" w:color="auto"/>
            </w:tcBorders>
          </w:tcPr>
          <w:p w14:paraId="767895A7" w14:textId="5D0BABDE" w:rsidR="00C2278B" w:rsidRPr="00AA4D6E" w:rsidRDefault="0028563F" w:rsidP="00F51F16">
            <w:pPr>
              <w:keepNext/>
              <w:spacing w:before="60" w:after="60"/>
              <w:rPr>
                <w:rFonts w:asciiTheme="minorHAnsi" w:hAnsiTheme="minorHAnsi" w:cs="Arial"/>
                <w:b/>
              </w:rPr>
            </w:pPr>
            <w:r>
              <w:rPr>
                <w:rFonts w:asciiTheme="minorHAnsi" w:hAnsiTheme="minorHAnsi"/>
                <w:b/>
              </w:rPr>
              <w:t>Type of service</w:t>
            </w:r>
          </w:p>
        </w:tc>
        <w:tc>
          <w:tcPr>
            <w:tcW w:w="0" w:type="auto"/>
            <w:tcBorders>
              <w:top w:val="single" w:sz="4" w:space="0" w:color="auto"/>
              <w:bottom w:val="single" w:sz="4" w:space="0" w:color="auto"/>
            </w:tcBorders>
          </w:tcPr>
          <w:p w14:paraId="0B121F1B" w14:textId="23CD5D8F" w:rsidR="00C2278B" w:rsidRPr="00AA4D6E" w:rsidRDefault="0028563F" w:rsidP="00F51F16">
            <w:pPr>
              <w:keepNext/>
              <w:spacing w:before="60" w:after="60"/>
              <w:rPr>
                <w:rFonts w:asciiTheme="minorHAnsi" w:hAnsiTheme="minorHAnsi" w:cs="Arial"/>
                <w:b/>
              </w:rPr>
            </w:pPr>
            <w:r>
              <w:rPr>
                <w:rFonts w:asciiTheme="minorHAnsi" w:hAnsiTheme="minorHAnsi"/>
                <w:b/>
              </w:rPr>
              <w:t>Proposed arrangement</w:t>
            </w:r>
          </w:p>
        </w:tc>
      </w:tr>
      <w:tr w:rsidR="00C2278B" w:rsidRPr="00AA4D6E" w14:paraId="3C29D0C4" w14:textId="77777777" w:rsidTr="00C2278B">
        <w:tc>
          <w:tcPr>
            <w:tcW w:w="0" w:type="auto"/>
            <w:tcBorders>
              <w:top w:val="single" w:sz="4" w:space="0" w:color="auto"/>
              <w:bottom w:val="single" w:sz="4" w:space="0" w:color="auto"/>
            </w:tcBorders>
          </w:tcPr>
          <w:p w14:paraId="68276703" w14:textId="555B2E59" w:rsidR="00C2278B" w:rsidRPr="00AA4D6E" w:rsidRDefault="00C2278B" w:rsidP="002B30B3">
            <w:pPr>
              <w:keepNext/>
              <w:spacing w:before="60" w:after="60"/>
              <w:rPr>
                <w:rFonts w:asciiTheme="minorHAnsi" w:hAnsiTheme="minorHAnsi" w:cs="Arial"/>
              </w:rPr>
            </w:pPr>
            <w:r w:rsidRPr="00AA4D6E">
              <w:t>Frequency regulation and contingency services</w:t>
            </w:r>
          </w:p>
        </w:tc>
        <w:tc>
          <w:tcPr>
            <w:tcW w:w="0" w:type="auto"/>
            <w:tcBorders>
              <w:top w:val="single" w:sz="4" w:space="0" w:color="auto"/>
              <w:bottom w:val="single" w:sz="4" w:space="0" w:color="auto"/>
            </w:tcBorders>
          </w:tcPr>
          <w:p w14:paraId="1629669C" w14:textId="188AFEBC" w:rsidR="00C2278B" w:rsidRPr="00A23B49" w:rsidRDefault="00C2278B" w:rsidP="00E02062">
            <w:pPr>
              <w:pStyle w:val="Body"/>
              <w:keepNext/>
              <w:numPr>
                <w:ilvl w:val="0"/>
                <w:numId w:val="15"/>
              </w:numPr>
              <w:spacing w:after="60" w:line="240" w:lineRule="auto"/>
              <w:ind w:left="342" w:hanging="342"/>
              <w:rPr>
                <w:rFonts w:asciiTheme="minorHAnsi" w:hAnsiTheme="minorHAnsi" w:cs="Arial"/>
                <w:sz w:val="22"/>
                <w:szCs w:val="22"/>
              </w:rPr>
            </w:pPr>
            <w:r w:rsidRPr="00A23B49">
              <w:rPr>
                <w:rFonts w:asciiTheme="minorHAnsi" w:hAnsiTheme="minorHAnsi" w:cs="Arial"/>
                <w:sz w:val="22"/>
                <w:szCs w:val="22"/>
              </w:rPr>
              <w:t>D</w:t>
            </w:r>
            <w:r w:rsidR="00F74018" w:rsidRPr="00A23B49">
              <w:rPr>
                <w:rFonts w:asciiTheme="minorHAnsi" w:hAnsiTheme="minorHAnsi" w:cs="Arial"/>
                <w:sz w:val="22"/>
                <w:szCs w:val="22"/>
              </w:rPr>
              <w:t>arwin-Katherine System</w:t>
            </w:r>
            <w:r w:rsidRPr="00A23B49">
              <w:rPr>
                <w:rFonts w:asciiTheme="minorHAnsi" w:hAnsiTheme="minorHAnsi" w:cs="Arial"/>
                <w:sz w:val="22"/>
                <w:szCs w:val="22"/>
              </w:rPr>
              <w:t xml:space="preserve"> </w:t>
            </w:r>
            <w:r w:rsidR="0099483B" w:rsidRPr="00A23B49">
              <w:rPr>
                <w:rFonts w:asciiTheme="minorHAnsi" w:hAnsiTheme="minorHAnsi" w:cs="Arial"/>
                <w:sz w:val="22"/>
                <w:szCs w:val="22"/>
              </w:rPr>
              <w:t xml:space="preserve">— </w:t>
            </w:r>
            <w:r w:rsidRPr="00A23B49">
              <w:rPr>
                <w:rFonts w:asciiTheme="minorHAnsi" w:hAnsiTheme="minorHAnsi" w:cs="Arial"/>
                <w:sz w:val="22"/>
                <w:szCs w:val="22"/>
              </w:rPr>
              <w:t>competitive spot market</w:t>
            </w:r>
          </w:p>
          <w:p w14:paraId="4AA7C6FD" w14:textId="4276DF9C" w:rsidR="00C2278B" w:rsidRPr="00A23B49" w:rsidRDefault="00C2278B" w:rsidP="00E02062">
            <w:pPr>
              <w:pStyle w:val="Body"/>
              <w:keepNext/>
              <w:numPr>
                <w:ilvl w:val="0"/>
                <w:numId w:val="15"/>
              </w:numPr>
              <w:spacing w:after="60" w:line="240" w:lineRule="auto"/>
              <w:ind w:left="342" w:hanging="342"/>
              <w:rPr>
                <w:rFonts w:asciiTheme="minorHAnsi" w:hAnsiTheme="minorHAnsi" w:cs="Arial"/>
                <w:sz w:val="22"/>
                <w:szCs w:val="22"/>
              </w:rPr>
            </w:pPr>
            <w:r w:rsidRPr="00A23B49">
              <w:rPr>
                <w:rFonts w:asciiTheme="minorHAnsi" w:hAnsiTheme="minorHAnsi" w:cs="Arial"/>
                <w:sz w:val="22"/>
                <w:szCs w:val="22"/>
              </w:rPr>
              <w:t xml:space="preserve">Other regulated systems </w:t>
            </w:r>
            <w:r w:rsidR="0099483B" w:rsidRPr="00A23B49">
              <w:rPr>
                <w:rFonts w:asciiTheme="minorHAnsi" w:hAnsiTheme="minorHAnsi" w:cs="Arial"/>
                <w:sz w:val="22"/>
                <w:szCs w:val="22"/>
              </w:rPr>
              <w:t>—</w:t>
            </w:r>
            <w:r w:rsidRPr="00A23B49">
              <w:rPr>
                <w:rFonts w:asciiTheme="minorHAnsi" w:hAnsiTheme="minorHAnsi" w:cs="Arial"/>
                <w:sz w:val="22"/>
                <w:szCs w:val="22"/>
              </w:rPr>
              <w:t xml:space="preserve"> competitive tendering arrangements, with default service provision arrangements with T-Gen</w:t>
            </w:r>
          </w:p>
        </w:tc>
      </w:tr>
      <w:tr w:rsidR="00C2278B" w:rsidRPr="00AA4D6E" w14:paraId="15963D89" w14:textId="77777777" w:rsidTr="00C2278B">
        <w:tc>
          <w:tcPr>
            <w:tcW w:w="0" w:type="auto"/>
            <w:tcBorders>
              <w:top w:val="single" w:sz="4" w:space="0" w:color="auto"/>
              <w:bottom w:val="single" w:sz="4" w:space="0" w:color="auto"/>
            </w:tcBorders>
          </w:tcPr>
          <w:p w14:paraId="2B3ABC02" w14:textId="34B30F11" w:rsidR="00C2278B" w:rsidRPr="00AA4D6E" w:rsidRDefault="00C2278B" w:rsidP="002B30B3">
            <w:pPr>
              <w:keepNext/>
              <w:spacing w:before="60" w:after="60"/>
              <w:rPr>
                <w:rFonts w:asciiTheme="minorHAnsi" w:hAnsiTheme="minorHAnsi" w:cs="Arial"/>
              </w:rPr>
            </w:pPr>
            <w:r w:rsidRPr="00AA4D6E">
              <w:rPr>
                <w:rFonts w:asciiTheme="minorHAnsi" w:hAnsiTheme="minorHAnsi" w:cs="Arial"/>
              </w:rPr>
              <w:t>Rate of Change of Frequency control service</w:t>
            </w:r>
          </w:p>
        </w:tc>
        <w:tc>
          <w:tcPr>
            <w:tcW w:w="0" w:type="auto"/>
            <w:tcBorders>
              <w:top w:val="single" w:sz="4" w:space="0" w:color="auto"/>
              <w:bottom w:val="single" w:sz="4" w:space="0" w:color="auto"/>
            </w:tcBorders>
          </w:tcPr>
          <w:p w14:paraId="074B532D" w14:textId="361C5342" w:rsidR="00C2278B" w:rsidRPr="00A23B49" w:rsidRDefault="00C2278B" w:rsidP="00E02062">
            <w:pPr>
              <w:pStyle w:val="Body"/>
              <w:keepNext/>
              <w:numPr>
                <w:ilvl w:val="0"/>
                <w:numId w:val="15"/>
              </w:numPr>
              <w:spacing w:after="60" w:line="240" w:lineRule="auto"/>
              <w:ind w:left="342" w:hanging="342"/>
              <w:rPr>
                <w:rFonts w:asciiTheme="minorHAnsi" w:hAnsiTheme="minorHAnsi" w:cs="Arial"/>
                <w:sz w:val="22"/>
                <w:szCs w:val="22"/>
              </w:rPr>
            </w:pPr>
            <w:r w:rsidRPr="00A23B49">
              <w:rPr>
                <w:rFonts w:asciiTheme="minorHAnsi" w:hAnsiTheme="minorHAnsi" w:cs="Arial"/>
                <w:sz w:val="22"/>
                <w:szCs w:val="22"/>
              </w:rPr>
              <w:t>Constrained off/on payment system</w:t>
            </w:r>
          </w:p>
        </w:tc>
      </w:tr>
      <w:tr w:rsidR="00C2278B" w:rsidRPr="00AA4D6E" w14:paraId="543E2818" w14:textId="77777777" w:rsidTr="00C2278B">
        <w:tc>
          <w:tcPr>
            <w:tcW w:w="0" w:type="auto"/>
            <w:tcBorders>
              <w:top w:val="single" w:sz="4" w:space="0" w:color="auto"/>
              <w:bottom w:val="single" w:sz="4" w:space="0" w:color="auto"/>
            </w:tcBorders>
          </w:tcPr>
          <w:p w14:paraId="3FC37BA0" w14:textId="746C4F3C" w:rsidR="00C2278B" w:rsidRPr="00AA4D6E" w:rsidRDefault="00C2278B" w:rsidP="002B30B3">
            <w:pPr>
              <w:keepNext/>
              <w:spacing w:before="60" w:after="60"/>
              <w:rPr>
                <w:rFonts w:asciiTheme="minorHAnsi" w:hAnsiTheme="minorHAnsi" w:cs="Arial"/>
              </w:rPr>
            </w:pPr>
            <w:r w:rsidRPr="00AA4D6E">
              <w:rPr>
                <w:rFonts w:asciiTheme="minorHAnsi" w:hAnsiTheme="minorHAnsi" w:cs="Arial"/>
              </w:rPr>
              <w:t>Other services such as network control services, voltage support and system restart services</w:t>
            </w:r>
          </w:p>
        </w:tc>
        <w:tc>
          <w:tcPr>
            <w:tcW w:w="0" w:type="auto"/>
            <w:tcBorders>
              <w:top w:val="single" w:sz="4" w:space="0" w:color="auto"/>
              <w:bottom w:val="single" w:sz="4" w:space="0" w:color="auto"/>
            </w:tcBorders>
          </w:tcPr>
          <w:p w14:paraId="496A6E35" w14:textId="2A1FD3D1" w:rsidR="00C2278B" w:rsidRPr="00A23B49" w:rsidRDefault="00C2278B" w:rsidP="00E02062">
            <w:pPr>
              <w:pStyle w:val="Body"/>
              <w:keepNext/>
              <w:numPr>
                <w:ilvl w:val="0"/>
                <w:numId w:val="15"/>
              </w:numPr>
              <w:spacing w:after="60" w:line="240" w:lineRule="auto"/>
              <w:ind w:left="342" w:hanging="342"/>
              <w:rPr>
                <w:rFonts w:asciiTheme="minorHAnsi" w:hAnsiTheme="minorHAnsi" w:cs="Arial"/>
                <w:sz w:val="22"/>
                <w:szCs w:val="22"/>
              </w:rPr>
            </w:pPr>
            <w:r w:rsidRPr="00A23B49">
              <w:rPr>
                <w:rFonts w:asciiTheme="minorHAnsi" w:hAnsiTheme="minorHAnsi" w:cs="Arial"/>
                <w:sz w:val="22"/>
                <w:szCs w:val="22"/>
              </w:rPr>
              <w:t>Competitive tendering arrangements, with default service provision arrangements with T-Gen</w:t>
            </w:r>
          </w:p>
        </w:tc>
      </w:tr>
    </w:tbl>
    <w:p w14:paraId="6F94FA41" w14:textId="275B2639" w:rsidR="00C2278B" w:rsidRPr="00A11265" w:rsidRDefault="00C2278B" w:rsidP="00C2278B">
      <w:pPr>
        <w:rPr>
          <w:rFonts w:asciiTheme="minorHAnsi" w:hAnsiTheme="minorHAnsi" w:cs="Arial"/>
          <w:sz w:val="18"/>
          <w:szCs w:val="18"/>
        </w:rPr>
      </w:pPr>
      <w:r w:rsidRPr="00A11265">
        <w:rPr>
          <w:rFonts w:asciiTheme="minorHAnsi" w:hAnsiTheme="minorHAnsi" w:cs="Arial"/>
          <w:i/>
          <w:sz w:val="18"/>
          <w:szCs w:val="18"/>
        </w:rPr>
        <w:t>Source:</w:t>
      </w:r>
      <w:r w:rsidRPr="00A11265">
        <w:rPr>
          <w:rFonts w:asciiTheme="minorHAnsi" w:hAnsiTheme="minorHAnsi" w:cs="Arial"/>
          <w:sz w:val="18"/>
          <w:szCs w:val="18"/>
        </w:rPr>
        <w:t xml:space="preserve"> </w:t>
      </w:r>
      <w:r w:rsidR="001913B5">
        <w:rPr>
          <w:rFonts w:asciiTheme="minorHAnsi" w:hAnsiTheme="minorHAnsi" w:cs="Arial"/>
          <w:sz w:val="18"/>
          <w:szCs w:val="18"/>
        </w:rPr>
        <w:t xml:space="preserve">ACIL </w:t>
      </w:r>
      <w:r w:rsidRPr="00A11265">
        <w:rPr>
          <w:rFonts w:asciiTheme="minorHAnsi" w:hAnsiTheme="minorHAnsi" w:cs="Arial"/>
          <w:sz w:val="18"/>
          <w:szCs w:val="18"/>
        </w:rPr>
        <w:t>Allen</w:t>
      </w:r>
      <w:r w:rsidR="001913B5">
        <w:rPr>
          <w:rFonts w:asciiTheme="minorHAnsi" w:hAnsiTheme="minorHAnsi" w:cs="Arial"/>
          <w:sz w:val="18"/>
          <w:szCs w:val="18"/>
        </w:rPr>
        <w:t xml:space="preserve"> based on Jacana 2020, Submission to Issues Paper, pp. 5-6</w:t>
      </w:r>
    </w:p>
    <w:p w14:paraId="20CB8890" w14:textId="51B185B8" w:rsidR="00CB560D" w:rsidRPr="00A11265" w:rsidRDefault="00992FE8" w:rsidP="00CB560D">
      <w:pPr>
        <w:pStyle w:val="Heading2"/>
        <w:keepNext/>
        <w:rPr>
          <w:lang w:eastAsia="en-AU"/>
        </w:rPr>
      </w:pPr>
      <w:bookmarkStart w:id="169" w:name="_Toc61852396"/>
      <w:bookmarkStart w:id="170" w:name="_Toc61956201"/>
      <w:bookmarkEnd w:id="169"/>
      <w:r w:rsidRPr="00A11265">
        <w:rPr>
          <w:lang w:eastAsia="en-AU"/>
        </w:rPr>
        <w:t>Analysis</w:t>
      </w:r>
      <w:bookmarkEnd w:id="170"/>
    </w:p>
    <w:p w14:paraId="4D7C6A21" w14:textId="656D3C4F" w:rsidR="00FD2C5D" w:rsidRPr="00A11265" w:rsidRDefault="00FD2C5D" w:rsidP="00D9724C">
      <w:pPr>
        <w:spacing w:before="200"/>
        <w:rPr>
          <w:rFonts w:asciiTheme="minorHAnsi" w:hAnsiTheme="minorHAnsi" w:cs="Arial"/>
        </w:rPr>
      </w:pPr>
      <w:r w:rsidRPr="00A11265">
        <w:rPr>
          <w:rFonts w:asciiTheme="minorHAnsi" w:hAnsiTheme="minorHAnsi" w:cs="Arial"/>
        </w:rPr>
        <w:t xml:space="preserve">The principles </w:t>
      </w:r>
      <w:r w:rsidR="0067232A" w:rsidRPr="00A11265">
        <w:rPr>
          <w:rFonts w:asciiTheme="minorHAnsi" w:hAnsiTheme="minorHAnsi" w:cs="Arial"/>
        </w:rPr>
        <w:t>for reviewing the essential system services</w:t>
      </w:r>
      <w:r w:rsidRPr="00A11265">
        <w:rPr>
          <w:rFonts w:asciiTheme="minorHAnsi" w:hAnsiTheme="minorHAnsi" w:cs="Arial"/>
        </w:rPr>
        <w:t xml:space="preserve"> include that the services should be acquired at least cost, and that the reforms should improve the overall efficiency of the electricity supply, putting downward pressure on the combined cost of </w:t>
      </w:r>
      <w:r w:rsidR="007B13EA" w:rsidRPr="00A11265">
        <w:rPr>
          <w:rFonts w:asciiTheme="minorHAnsi" w:hAnsiTheme="minorHAnsi" w:cs="Arial"/>
        </w:rPr>
        <w:t>essential system services</w:t>
      </w:r>
      <w:r w:rsidRPr="00A11265">
        <w:rPr>
          <w:rFonts w:asciiTheme="minorHAnsi" w:hAnsiTheme="minorHAnsi" w:cs="Arial"/>
        </w:rPr>
        <w:t>, wholesale electricity and network services.</w:t>
      </w:r>
    </w:p>
    <w:p w14:paraId="659F0FF5" w14:textId="4BC3FCD3" w:rsidR="00C2461C" w:rsidRPr="00A11265" w:rsidRDefault="0067232A" w:rsidP="00C2461C">
      <w:pPr>
        <w:spacing w:before="200"/>
        <w:rPr>
          <w:rFonts w:asciiTheme="minorHAnsi" w:hAnsiTheme="minorHAnsi" w:cs="Arial"/>
        </w:rPr>
      </w:pPr>
      <w:r w:rsidRPr="00A11265">
        <w:rPr>
          <w:rFonts w:asciiTheme="minorHAnsi" w:hAnsiTheme="minorHAnsi" w:cs="Arial"/>
        </w:rPr>
        <w:t>Essential system services</w:t>
      </w:r>
      <w:r w:rsidR="00C2461C" w:rsidRPr="00A11265">
        <w:rPr>
          <w:rFonts w:asciiTheme="minorHAnsi" w:hAnsiTheme="minorHAnsi" w:cs="Arial"/>
        </w:rPr>
        <w:t xml:space="preserve"> are most likely able to be acquired at least cost when they are acquired through some form of competitive process and there are sufficient potential providers of those services participating in the process to apply competitive tension. </w:t>
      </w:r>
    </w:p>
    <w:p w14:paraId="67BF0509" w14:textId="096D68AB" w:rsidR="00C2461C" w:rsidRPr="00A11265" w:rsidRDefault="0067232A" w:rsidP="00C2461C">
      <w:pPr>
        <w:spacing w:before="200"/>
        <w:rPr>
          <w:rFonts w:asciiTheme="minorHAnsi" w:hAnsiTheme="minorHAnsi" w:cs="Arial"/>
        </w:rPr>
      </w:pPr>
      <w:r w:rsidRPr="00A11265">
        <w:rPr>
          <w:rFonts w:asciiTheme="minorHAnsi" w:hAnsiTheme="minorHAnsi" w:cs="Arial"/>
        </w:rPr>
        <w:t xml:space="preserve">At present </w:t>
      </w:r>
      <w:r w:rsidR="00C2461C" w:rsidRPr="00A11265">
        <w:rPr>
          <w:rFonts w:asciiTheme="minorHAnsi" w:hAnsiTheme="minorHAnsi" w:cs="Arial"/>
        </w:rPr>
        <w:t xml:space="preserve">T-Gen is </w:t>
      </w:r>
      <w:r w:rsidRPr="00A11265">
        <w:rPr>
          <w:rFonts w:asciiTheme="minorHAnsi" w:hAnsiTheme="minorHAnsi" w:cs="Arial"/>
        </w:rPr>
        <w:t>the predominant provider of essential system services using synchronous generators, however</w:t>
      </w:r>
      <w:r w:rsidR="00C2461C" w:rsidRPr="00A11265">
        <w:rPr>
          <w:rFonts w:asciiTheme="minorHAnsi" w:hAnsiTheme="minorHAnsi" w:cs="Arial"/>
        </w:rPr>
        <w:t xml:space="preserve"> as the </w:t>
      </w:r>
      <w:r w:rsidR="00F17647">
        <w:rPr>
          <w:rFonts w:asciiTheme="minorHAnsi" w:hAnsiTheme="minorHAnsi" w:cs="Arial"/>
        </w:rPr>
        <w:t>NT</w:t>
      </w:r>
      <w:r w:rsidR="00C2461C" w:rsidRPr="00A11265">
        <w:rPr>
          <w:rFonts w:asciiTheme="minorHAnsi" w:hAnsiTheme="minorHAnsi" w:cs="Arial"/>
        </w:rPr>
        <w:t>’s electricity supply transitions to new renewable energy generators and batteries over the period to 2030, there is the opportunity to intro</w:t>
      </w:r>
      <w:r w:rsidRPr="00A11265">
        <w:rPr>
          <w:rFonts w:asciiTheme="minorHAnsi" w:hAnsiTheme="minorHAnsi" w:cs="Arial"/>
        </w:rPr>
        <w:t>duce additional providers of essential system services</w:t>
      </w:r>
      <w:r w:rsidR="00C2461C" w:rsidRPr="00A11265">
        <w:rPr>
          <w:rFonts w:asciiTheme="minorHAnsi" w:hAnsiTheme="minorHAnsi" w:cs="Arial"/>
        </w:rPr>
        <w:t xml:space="preserve"> to apply more competitive tension as part of any competitive process</w:t>
      </w:r>
      <w:r w:rsidRPr="00A11265">
        <w:rPr>
          <w:rFonts w:asciiTheme="minorHAnsi" w:hAnsiTheme="minorHAnsi" w:cs="Arial"/>
        </w:rPr>
        <w:t xml:space="preserve">. There is more opportunity to apply </w:t>
      </w:r>
      <w:r w:rsidRPr="00A11265">
        <w:rPr>
          <w:rFonts w:asciiTheme="minorHAnsi" w:hAnsiTheme="minorHAnsi" w:cs="Arial"/>
        </w:rPr>
        <w:lastRenderedPageBreak/>
        <w:t xml:space="preserve">competitive tension in </w:t>
      </w:r>
      <w:r w:rsidR="00C2461C" w:rsidRPr="00A11265">
        <w:rPr>
          <w:rFonts w:asciiTheme="minorHAnsi" w:hAnsiTheme="minorHAnsi" w:cs="Arial"/>
        </w:rPr>
        <w:t>the Darwin-Katherine system than in the smaller Alice Springs and Tennant Creek systems.</w:t>
      </w:r>
    </w:p>
    <w:p w14:paraId="263108AE" w14:textId="455511EE" w:rsidR="00C2461C" w:rsidRPr="00A11265" w:rsidRDefault="00C2461C" w:rsidP="00C2461C">
      <w:pPr>
        <w:spacing w:before="200"/>
        <w:rPr>
          <w:rFonts w:asciiTheme="minorHAnsi" w:hAnsiTheme="minorHAnsi" w:cs="Arial"/>
        </w:rPr>
      </w:pPr>
      <w:r w:rsidRPr="00A11265">
        <w:rPr>
          <w:rFonts w:asciiTheme="minorHAnsi" w:hAnsiTheme="minorHAnsi" w:cs="Arial"/>
        </w:rPr>
        <w:t>Given th</w:t>
      </w:r>
      <w:r w:rsidR="001913B5">
        <w:rPr>
          <w:rFonts w:asciiTheme="minorHAnsi" w:hAnsiTheme="minorHAnsi" w:cs="Arial"/>
        </w:rPr>
        <w:t>e</w:t>
      </w:r>
      <w:r w:rsidRPr="00A11265">
        <w:rPr>
          <w:rFonts w:asciiTheme="minorHAnsi" w:hAnsiTheme="minorHAnsi" w:cs="Arial"/>
        </w:rPr>
        <w:t xml:space="preserve"> </w:t>
      </w:r>
      <w:r w:rsidR="001913B5">
        <w:rPr>
          <w:rFonts w:asciiTheme="minorHAnsi" w:hAnsiTheme="minorHAnsi" w:cs="Arial"/>
        </w:rPr>
        <w:t xml:space="preserve">electricity system </w:t>
      </w:r>
      <w:r w:rsidRPr="00A11265">
        <w:rPr>
          <w:rFonts w:asciiTheme="minorHAnsi" w:hAnsiTheme="minorHAnsi" w:cs="Arial"/>
        </w:rPr>
        <w:t>transition over the next decade, and assuming there is a move towards m</w:t>
      </w:r>
      <w:r w:rsidR="00E95B6A" w:rsidRPr="00A11265">
        <w:rPr>
          <w:rFonts w:asciiTheme="minorHAnsi" w:hAnsiTheme="minorHAnsi" w:cs="Arial"/>
        </w:rPr>
        <w:t>ore competitive provision of essential system services</w:t>
      </w:r>
      <w:r w:rsidRPr="00A11265">
        <w:rPr>
          <w:rFonts w:asciiTheme="minorHAnsi" w:hAnsiTheme="minorHAnsi" w:cs="Arial"/>
        </w:rPr>
        <w:t xml:space="preserve">, the timing and transition path will be important to be able to leverage the benefits of competition but </w:t>
      </w:r>
      <w:r w:rsidR="007B13EA" w:rsidRPr="00A11265">
        <w:rPr>
          <w:rFonts w:asciiTheme="minorHAnsi" w:hAnsiTheme="minorHAnsi" w:cs="Arial"/>
        </w:rPr>
        <w:t xml:space="preserve">without incurring a </w:t>
      </w:r>
      <w:r w:rsidRPr="00A11265">
        <w:rPr>
          <w:rFonts w:asciiTheme="minorHAnsi" w:hAnsiTheme="minorHAnsi" w:cs="Arial"/>
        </w:rPr>
        <w:t>penal</w:t>
      </w:r>
      <w:r w:rsidR="007B13EA" w:rsidRPr="00A11265">
        <w:rPr>
          <w:rFonts w:asciiTheme="minorHAnsi" w:hAnsiTheme="minorHAnsi" w:cs="Arial"/>
        </w:rPr>
        <w:t xml:space="preserve">ty in </w:t>
      </w:r>
      <w:r w:rsidRPr="00A11265">
        <w:rPr>
          <w:rFonts w:asciiTheme="minorHAnsi" w:hAnsiTheme="minorHAnsi" w:cs="Arial"/>
        </w:rPr>
        <w:t>the transition period when co</w:t>
      </w:r>
      <w:r w:rsidR="00090E99" w:rsidRPr="00A11265">
        <w:rPr>
          <w:rFonts w:asciiTheme="minorHAnsi" w:hAnsiTheme="minorHAnsi" w:cs="Arial"/>
        </w:rPr>
        <w:t>mpetition may not be effective.</w:t>
      </w:r>
    </w:p>
    <w:p w14:paraId="3424BD4F" w14:textId="13C40284" w:rsidR="00FD2C5D" w:rsidRPr="00A11265" w:rsidRDefault="00F018AA" w:rsidP="00D9724C">
      <w:pPr>
        <w:pStyle w:val="Heading3"/>
        <w:rPr>
          <w:szCs w:val="24"/>
          <w:lang w:eastAsia="en-AU"/>
        </w:rPr>
      </w:pPr>
      <w:r w:rsidRPr="00A11265">
        <w:rPr>
          <w:szCs w:val="24"/>
          <w:lang w:eastAsia="en-AU"/>
        </w:rPr>
        <w:t xml:space="preserve">Prospects for </w:t>
      </w:r>
      <w:r w:rsidR="00E00D2E" w:rsidRPr="00A11265">
        <w:rPr>
          <w:szCs w:val="24"/>
          <w:lang w:eastAsia="en-AU"/>
        </w:rPr>
        <w:t>competitive</w:t>
      </w:r>
      <w:r w:rsidRPr="00A11265">
        <w:rPr>
          <w:szCs w:val="24"/>
          <w:lang w:eastAsia="en-AU"/>
        </w:rPr>
        <w:t xml:space="preserve"> service</w:t>
      </w:r>
      <w:r w:rsidR="00FD2C5D" w:rsidRPr="00A11265">
        <w:rPr>
          <w:szCs w:val="24"/>
          <w:lang w:eastAsia="en-AU"/>
        </w:rPr>
        <w:t xml:space="preserve"> provision</w:t>
      </w:r>
    </w:p>
    <w:p w14:paraId="0D4E7925" w14:textId="6B9DBEEF" w:rsidR="00E00D2E" w:rsidRPr="00A11265" w:rsidRDefault="00E00D2E" w:rsidP="00D9724C">
      <w:pPr>
        <w:rPr>
          <w:lang w:eastAsia="en-AU"/>
        </w:rPr>
      </w:pPr>
      <w:r w:rsidRPr="00A11265">
        <w:rPr>
          <w:lang w:eastAsia="en-AU"/>
        </w:rPr>
        <w:t>The key characteristic</w:t>
      </w:r>
      <w:r w:rsidR="001C650F" w:rsidRPr="00A11265">
        <w:rPr>
          <w:lang w:eastAsia="en-AU"/>
        </w:rPr>
        <w:t xml:space="preserve"> for</w:t>
      </w:r>
      <w:r w:rsidR="00135270" w:rsidRPr="00A11265">
        <w:rPr>
          <w:lang w:eastAsia="en-AU"/>
        </w:rPr>
        <w:t xml:space="preserve"> a</w:t>
      </w:r>
      <w:r w:rsidR="001C650F" w:rsidRPr="00A11265">
        <w:rPr>
          <w:lang w:eastAsia="en-AU"/>
        </w:rPr>
        <w:t xml:space="preserve"> service</w:t>
      </w:r>
      <w:r w:rsidR="00135270" w:rsidRPr="00A11265">
        <w:rPr>
          <w:lang w:eastAsia="en-AU"/>
        </w:rPr>
        <w:t xml:space="preserve"> to be suitable</w:t>
      </w:r>
      <w:r w:rsidR="001C650F" w:rsidRPr="00A11265">
        <w:rPr>
          <w:lang w:eastAsia="en-AU"/>
        </w:rPr>
        <w:t xml:space="preserve"> for competitive</w:t>
      </w:r>
      <w:r w:rsidR="00135270" w:rsidRPr="00A11265">
        <w:rPr>
          <w:lang w:eastAsia="en-AU"/>
        </w:rPr>
        <w:t xml:space="preserve"> provision</w:t>
      </w:r>
      <w:r w:rsidRPr="00A11265">
        <w:rPr>
          <w:lang w:eastAsia="en-AU"/>
        </w:rPr>
        <w:t xml:space="preserve"> is for the </w:t>
      </w:r>
      <w:r w:rsidR="00E95B6A" w:rsidRPr="00A11265">
        <w:rPr>
          <w:lang w:eastAsia="en-AU"/>
        </w:rPr>
        <w:t>requ</w:t>
      </w:r>
      <w:r w:rsidR="00135270" w:rsidRPr="00A11265">
        <w:rPr>
          <w:lang w:eastAsia="en-AU"/>
        </w:rPr>
        <w:t>irement to be able to be served</w:t>
      </w:r>
      <w:r w:rsidR="00E95B6A" w:rsidRPr="00A11265">
        <w:rPr>
          <w:lang w:eastAsia="en-AU"/>
        </w:rPr>
        <w:t xml:space="preserve"> by more than one provider.</w:t>
      </w:r>
    </w:p>
    <w:p w14:paraId="58838B00" w14:textId="700CE36E" w:rsidR="00E95B6A" w:rsidRPr="00A11265" w:rsidRDefault="00E95B6A" w:rsidP="00D9724C">
      <w:pPr>
        <w:rPr>
          <w:lang w:eastAsia="en-AU"/>
        </w:rPr>
      </w:pPr>
      <w:r w:rsidRPr="00A11265">
        <w:rPr>
          <w:lang w:eastAsia="en-AU"/>
        </w:rPr>
        <w:t>The current</w:t>
      </w:r>
      <w:r w:rsidR="00FB0DBF" w:rsidRPr="00A11265">
        <w:rPr>
          <w:lang w:eastAsia="en-AU"/>
        </w:rPr>
        <w:t>ly enacted</w:t>
      </w:r>
      <w:r w:rsidRPr="00A11265">
        <w:rPr>
          <w:lang w:eastAsia="en-AU"/>
        </w:rPr>
        <w:t xml:space="preserve"> spinning reserve regime can inherently only be provided by synchronous generators and</w:t>
      </w:r>
      <w:r w:rsidR="0077108C" w:rsidRPr="0077108C">
        <w:rPr>
          <w:lang w:eastAsia="en-AU"/>
        </w:rPr>
        <w:t xml:space="preserve"> </w:t>
      </w:r>
      <w:r w:rsidR="0077108C" w:rsidRPr="00A11265">
        <w:rPr>
          <w:lang w:eastAsia="en-AU"/>
        </w:rPr>
        <w:t>limits the potential for competition</w:t>
      </w:r>
      <w:r w:rsidR="001C650F" w:rsidRPr="00A11265">
        <w:rPr>
          <w:lang w:eastAsia="en-AU"/>
        </w:rPr>
        <w:t>,</w:t>
      </w:r>
      <w:r w:rsidRPr="00A11265">
        <w:rPr>
          <w:lang w:eastAsia="en-AU"/>
        </w:rPr>
        <w:t xml:space="preserve"> </w:t>
      </w:r>
      <w:r w:rsidR="00E57822" w:rsidRPr="00A11265">
        <w:rPr>
          <w:lang w:eastAsia="en-AU"/>
        </w:rPr>
        <w:t xml:space="preserve">notwithstanding </w:t>
      </w:r>
      <w:r w:rsidR="0077108C">
        <w:rPr>
          <w:lang w:eastAsia="en-AU"/>
        </w:rPr>
        <w:t xml:space="preserve">that </w:t>
      </w:r>
      <w:r w:rsidR="001C650F" w:rsidRPr="00A11265">
        <w:rPr>
          <w:lang w:eastAsia="en-AU"/>
        </w:rPr>
        <w:t xml:space="preserve">there is an incumbent independent </w:t>
      </w:r>
      <w:r w:rsidR="00E57822" w:rsidRPr="00A11265">
        <w:rPr>
          <w:lang w:eastAsia="en-AU"/>
        </w:rPr>
        <w:t>gas-fired generator in the Darwin-Katherine system and</w:t>
      </w:r>
      <w:r w:rsidR="001C650F" w:rsidRPr="00A11265">
        <w:rPr>
          <w:lang w:eastAsia="en-AU"/>
        </w:rPr>
        <w:t xml:space="preserve"> another independent gas-fired generator under construction</w:t>
      </w:r>
      <w:r w:rsidR="0077108C">
        <w:rPr>
          <w:lang w:eastAsia="en-AU"/>
        </w:rPr>
        <w:t>.</w:t>
      </w:r>
    </w:p>
    <w:p w14:paraId="1FF17BB4" w14:textId="1B2FAAEF" w:rsidR="00E95B6A" w:rsidRPr="00A11265" w:rsidRDefault="00E95B6A" w:rsidP="00D9724C">
      <w:pPr>
        <w:rPr>
          <w:lang w:eastAsia="en-AU"/>
        </w:rPr>
      </w:pPr>
      <w:r w:rsidRPr="00A11265">
        <w:rPr>
          <w:lang w:eastAsia="en-AU"/>
        </w:rPr>
        <w:t xml:space="preserve">At present, the capability of existing system participants to provide essential system services may be quite limited, however the revisions to the </w:t>
      </w:r>
      <w:r w:rsidR="00FB0DBF" w:rsidRPr="00A11265">
        <w:rPr>
          <w:lang w:eastAsia="en-AU"/>
        </w:rPr>
        <w:t>GPS</w:t>
      </w:r>
      <w:r w:rsidRPr="00A11265">
        <w:rPr>
          <w:lang w:eastAsia="en-AU"/>
        </w:rPr>
        <w:t xml:space="preserve"> approved by the Utilities Commission in March 2020, require connecting generators to meet a capacity forecasting </w:t>
      </w:r>
      <w:r w:rsidR="00FB0DBF" w:rsidRPr="00A11265">
        <w:rPr>
          <w:lang w:eastAsia="en-AU"/>
        </w:rPr>
        <w:t>requirement</w:t>
      </w:r>
      <w:r w:rsidRPr="00A11265">
        <w:rPr>
          <w:lang w:eastAsia="en-AU"/>
        </w:rPr>
        <w:t xml:space="preserve">. Meeting this </w:t>
      </w:r>
      <w:r w:rsidR="00FB0DBF" w:rsidRPr="00A11265">
        <w:rPr>
          <w:lang w:eastAsia="en-AU"/>
        </w:rPr>
        <w:t>requirement</w:t>
      </w:r>
      <w:r w:rsidRPr="00A11265">
        <w:rPr>
          <w:lang w:eastAsia="en-AU"/>
        </w:rPr>
        <w:t xml:space="preserve"> can be done through a variety of measures, but is likely to result in renewable generators installing or contracting with energy storage systems, likely in the form of B</w:t>
      </w:r>
      <w:r w:rsidR="00FB0DBF" w:rsidRPr="00A11265">
        <w:rPr>
          <w:lang w:eastAsia="en-AU"/>
        </w:rPr>
        <w:t>attery Energy Storage Systems (BESS)</w:t>
      </w:r>
      <w:r w:rsidRPr="00A11265">
        <w:rPr>
          <w:lang w:eastAsia="en-AU"/>
        </w:rPr>
        <w:t>.</w:t>
      </w:r>
    </w:p>
    <w:p w14:paraId="7DD136B4" w14:textId="397DDF02" w:rsidR="00FB0DBF" w:rsidRPr="00A11265" w:rsidRDefault="00FB0DBF" w:rsidP="00D9724C">
      <w:pPr>
        <w:rPr>
          <w:lang w:eastAsia="en-AU"/>
        </w:rPr>
      </w:pPr>
      <w:r w:rsidRPr="00A11265">
        <w:rPr>
          <w:lang w:eastAsia="en-AU"/>
        </w:rPr>
        <w:t xml:space="preserve">This section highlights the likely potential for future competition in the essential system services proposed by the Design Development Team in section </w:t>
      </w:r>
      <w:r w:rsidR="0077108C">
        <w:rPr>
          <w:lang w:eastAsia="en-AU"/>
        </w:rPr>
        <w:t>3</w:t>
      </w:r>
      <w:r w:rsidRPr="00A11265">
        <w:rPr>
          <w:lang w:eastAsia="en-AU"/>
        </w:rPr>
        <w:t>.4.</w:t>
      </w:r>
    </w:p>
    <w:p w14:paraId="6C2E79AE" w14:textId="5C94D360" w:rsidR="009C4594" w:rsidRPr="00A11265" w:rsidRDefault="009C4594" w:rsidP="00D24B1D">
      <w:pPr>
        <w:pStyle w:val="Heading4"/>
      </w:pPr>
      <w:r w:rsidRPr="00A11265">
        <w:t>Frequency management</w:t>
      </w:r>
    </w:p>
    <w:p w14:paraId="39C1A03F" w14:textId="77777777" w:rsidR="000E65DC" w:rsidRPr="00A11265" w:rsidRDefault="000E65DC" w:rsidP="00D24B1D">
      <w:pPr>
        <w:pStyle w:val="Heading4"/>
      </w:pPr>
      <w:proofErr w:type="spellStart"/>
      <w:r w:rsidRPr="00A11265">
        <w:t>RoCoF</w:t>
      </w:r>
      <w:proofErr w:type="spellEnd"/>
      <w:r w:rsidRPr="00A11265">
        <w:t xml:space="preserve"> control service</w:t>
      </w:r>
    </w:p>
    <w:p w14:paraId="490E909A" w14:textId="77777777" w:rsidR="000E65DC" w:rsidRPr="00A11265" w:rsidRDefault="000E65DC" w:rsidP="000E65DC">
      <w:pPr>
        <w:rPr>
          <w:rFonts w:asciiTheme="minorHAnsi" w:hAnsiTheme="minorHAnsi" w:cs="Arial"/>
        </w:rPr>
      </w:pPr>
      <w:r w:rsidRPr="00A11265">
        <w:rPr>
          <w:rFonts w:asciiTheme="minorHAnsi" w:hAnsiTheme="minorHAnsi" w:cs="Arial"/>
        </w:rPr>
        <w:t xml:space="preserve">Keeping power system </w:t>
      </w:r>
      <w:proofErr w:type="spellStart"/>
      <w:r w:rsidRPr="00A11265">
        <w:rPr>
          <w:rFonts w:asciiTheme="minorHAnsi" w:hAnsiTheme="minorHAnsi" w:cs="Arial"/>
        </w:rPr>
        <w:t>RoCoF</w:t>
      </w:r>
      <w:proofErr w:type="spellEnd"/>
      <w:r w:rsidRPr="00A11265">
        <w:rPr>
          <w:rFonts w:asciiTheme="minorHAnsi" w:hAnsiTheme="minorHAnsi" w:cs="Arial"/>
        </w:rPr>
        <w:t xml:space="preserve"> controllable under a contingency currently utilises post-contingent synchronous inertia, which inherently instantaneously controls </w:t>
      </w:r>
      <w:proofErr w:type="spellStart"/>
      <w:r w:rsidRPr="00A11265">
        <w:rPr>
          <w:rFonts w:asciiTheme="minorHAnsi" w:hAnsiTheme="minorHAnsi" w:cs="Arial"/>
        </w:rPr>
        <w:t>RoCoF</w:t>
      </w:r>
      <w:proofErr w:type="spellEnd"/>
      <w:r w:rsidRPr="00A11265">
        <w:rPr>
          <w:rFonts w:asciiTheme="minorHAnsi" w:hAnsiTheme="minorHAnsi" w:cs="Arial"/>
        </w:rPr>
        <w:t xml:space="preserve"> as a physical consequence of the rotating mass connected to the power system by a synchronous machine. </w:t>
      </w:r>
    </w:p>
    <w:p w14:paraId="4ECE505E" w14:textId="2CE126DF" w:rsidR="000E65DC" w:rsidRPr="00A11265" w:rsidRDefault="000E65DC" w:rsidP="000E65DC">
      <w:pPr>
        <w:rPr>
          <w:rFonts w:asciiTheme="minorHAnsi" w:hAnsiTheme="minorHAnsi" w:cs="Arial"/>
        </w:rPr>
      </w:pPr>
      <w:r w:rsidRPr="00A11265">
        <w:rPr>
          <w:rFonts w:asciiTheme="minorHAnsi" w:hAnsiTheme="minorHAnsi" w:cs="Arial"/>
        </w:rPr>
        <w:t xml:space="preserve">‘Zero-inertia’ power systems, with no synchronous plant, and a BESS providing ‘grid forming’ </w:t>
      </w:r>
      <w:proofErr w:type="spellStart"/>
      <w:r w:rsidRPr="00A11265">
        <w:rPr>
          <w:rFonts w:asciiTheme="minorHAnsi" w:hAnsiTheme="minorHAnsi" w:cs="Arial"/>
        </w:rPr>
        <w:t>RoCoF</w:t>
      </w:r>
      <w:proofErr w:type="spellEnd"/>
      <w:r w:rsidRPr="00A11265">
        <w:rPr>
          <w:rFonts w:asciiTheme="minorHAnsi" w:hAnsiTheme="minorHAnsi" w:cs="Arial"/>
        </w:rPr>
        <w:t xml:space="preserve"> control capability are technically possible and practicable, but in practice they have only been implemented on small islanded </w:t>
      </w:r>
      <w:proofErr w:type="spellStart"/>
      <w:r w:rsidRPr="00A11265">
        <w:rPr>
          <w:rFonts w:asciiTheme="minorHAnsi" w:hAnsiTheme="minorHAnsi" w:cs="Arial"/>
        </w:rPr>
        <w:t>microgrids</w:t>
      </w:r>
      <w:proofErr w:type="spellEnd"/>
      <w:r w:rsidRPr="00A11265">
        <w:rPr>
          <w:rFonts w:asciiTheme="minorHAnsi" w:hAnsiTheme="minorHAnsi" w:cs="Arial"/>
        </w:rPr>
        <w:t xml:space="preserve"> and stand-alone power systems, where control systems implementing grid forming algorithms can be co-ordinated. Implementation on larger power systems, which require integration with synchronous plant control schemes or interactions between multiple inverter control systems to retain a stable frequency following contingencies is still an area of development and it is therefore unlikely that the Alice Springs or Darwin</w:t>
      </w:r>
      <w:r w:rsidR="000B5720">
        <w:rPr>
          <w:rFonts w:asciiTheme="minorHAnsi" w:hAnsiTheme="minorHAnsi" w:cs="Arial"/>
        </w:rPr>
        <w:noBreakHyphen/>
      </w:r>
      <w:r w:rsidRPr="00A11265">
        <w:rPr>
          <w:rFonts w:asciiTheme="minorHAnsi" w:hAnsiTheme="minorHAnsi" w:cs="Arial"/>
        </w:rPr>
        <w:t>Katherine power systems will be capable of zero-inertia operation in the short to medium term.</w:t>
      </w:r>
    </w:p>
    <w:p w14:paraId="5BEDF99E" w14:textId="249658A9" w:rsidR="000E65DC" w:rsidRPr="00A11265" w:rsidRDefault="000E65DC" w:rsidP="000E65DC">
      <w:pPr>
        <w:rPr>
          <w:rFonts w:asciiTheme="minorHAnsi" w:hAnsiTheme="minorHAnsi" w:cs="Arial"/>
        </w:rPr>
      </w:pPr>
      <w:r w:rsidRPr="00A11265">
        <w:rPr>
          <w:rFonts w:asciiTheme="minorHAnsi" w:hAnsiTheme="minorHAnsi" w:cs="Arial"/>
        </w:rPr>
        <w:t xml:space="preserve">However, developments in technologies are likely to improve the performance and potentially the capability of alternative technologies to provide a </w:t>
      </w:r>
      <w:proofErr w:type="spellStart"/>
      <w:r w:rsidRPr="00A11265">
        <w:rPr>
          <w:rFonts w:asciiTheme="minorHAnsi" w:hAnsiTheme="minorHAnsi" w:cs="Arial"/>
        </w:rPr>
        <w:t>RoCoF</w:t>
      </w:r>
      <w:proofErr w:type="spellEnd"/>
      <w:r w:rsidRPr="00A11265">
        <w:rPr>
          <w:rFonts w:asciiTheme="minorHAnsi" w:hAnsiTheme="minorHAnsi" w:cs="Arial"/>
        </w:rPr>
        <w:t xml:space="preserve"> control service equivalent to synchronous inertia. </w:t>
      </w:r>
    </w:p>
    <w:p w14:paraId="538E0993" w14:textId="77777777" w:rsidR="000E65DC" w:rsidRPr="00A11265" w:rsidRDefault="000E65DC" w:rsidP="00D24B1D">
      <w:pPr>
        <w:pStyle w:val="Heading4"/>
      </w:pPr>
      <w:r w:rsidRPr="00A11265">
        <w:t>Contingency frequency control service</w:t>
      </w:r>
    </w:p>
    <w:p w14:paraId="00B2437E" w14:textId="36D40C22" w:rsidR="000E65DC" w:rsidRPr="00A11265" w:rsidRDefault="000E65DC" w:rsidP="000E65DC">
      <w:pPr>
        <w:rPr>
          <w:rFonts w:asciiTheme="minorHAnsi" w:hAnsiTheme="minorHAnsi" w:cs="Arial"/>
        </w:rPr>
      </w:pPr>
      <w:r w:rsidRPr="00A11265">
        <w:rPr>
          <w:rFonts w:asciiTheme="minorHAnsi" w:hAnsiTheme="minorHAnsi" w:cs="Arial"/>
        </w:rPr>
        <w:t xml:space="preserve">There are no technical barriers to a contingency frequency control service being provided by alternative technologies to the existing synchronous generators on the NT regulated systems. BESS and inverter connected renewable generation can both provide contingency frequency control lower services, often with response times below that of synchronous generation. BESS can also provide contingency raise services. Interruptible loads may also be capable of providing demand side response to contingency events, through tripping. However, as explained </w:t>
      </w:r>
      <w:r w:rsidR="000B5720">
        <w:rPr>
          <w:rFonts w:asciiTheme="minorHAnsi" w:hAnsiTheme="minorHAnsi" w:cs="Arial"/>
        </w:rPr>
        <w:t>in section 2.3.1.1</w:t>
      </w:r>
      <w:r w:rsidRPr="00A11265">
        <w:rPr>
          <w:rFonts w:asciiTheme="minorHAnsi" w:hAnsiTheme="minorHAnsi" w:cs="Arial"/>
        </w:rPr>
        <w:t>, inverter connected generation may find it uneconomic to provide contingency frequency control raise services.</w:t>
      </w:r>
    </w:p>
    <w:p w14:paraId="51D3F35E" w14:textId="77777777" w:rsidR="000E65DC" w:rsidRPr="00A11265" w:rsidRDefault="000E65DC" w:rsidP="000E65DC">
      <w:pPr>
        <w:rPr>
          <w:rFonts w:asciiTheme="minorHAnsi" w:hAnsiTheme="minorHAnsi" w:cs="Arial"/>
        </w:rPr>
      </w:pPr>
      <w:r w:rsidRPr="00A11265">
        <w:rPr>
          <w:rFonts w:asciiTheme="minorHAnsi" w:hAnsiTheme="minorHAnsi" w:cs="Arial"/>
        </w:rPr>
        <w:lastRenderedPageBreak/>
        <w:t xml:space="preserve">BESS are proven providers of contingency frequency services in other markets. This service is provided in South Australia by the </w:t>
      </w:r>
      <w:proofErr w:type="spellStart"/>
      <w:r w:rsidRPr="00A11265">
        <w:rPr>
          <w:rFonts w:asciiTheme="minorHAnsi" w:hAnsiTheme="minorHAnsi" w:cs="Arial"/>
        </w:rPr>
        <w:t>Hornsdale</w:t>
      </w:r>
      <w:proofErr w:type="spellEnd"/>
      <w:r w:rsidRPr="00A11265">
        <w:rPr>
          <w:rFonts w:asciiTheme="minorHAnsi" w:hAnsiTheme="minorHAnsi" w:cs="Arial"/>
        </w:rPr>
        <w:t xml:space="preserve"> Power Reserve, and in the United Kingdom where distributed battery systems participate in frequency response markets. A BESS is also currently installed in Alice Springs, where it is used to provide a C-FCAS response, despite this arrangement not currently being formally enacted in the SSG.</w:t>
      </w:r>
    </w:p>
    <w:p w14:paraId="7A85A233" w14:textId="77777777" w:rsidR="000E65DC" w:rsidRPr="00A11265" w:rsidRDefault="000E65DC" w:rsidP="000E65DC">
      <w:pPr>
        <w:rPr>
          <w:rFonts w:asciiTheme="minorHAnsi" w:hAnsiTheme="minorHAnsi" w:cs="Arial"/>
        </w:rPr>
      </w:pPr>
      <w:r w:rsidRPr="00A11265">
        <w:rPr>
          <w:rFonts w:asciiTheme="minorHAnsi" w:hAnsiTheme="minorHAnsi" w:cs="Arial"/>
        </w:rPr>
        <w:t>Contracted load interruption can also be an effective option for providing contingency frequency control raise services. This could take the form of either, individual large loads agreeing to be disconnected in response to an under-frequency event; or for an equivalent response to be provided by aggregated facilities.</w:t>
      </w:r>
    </w:p>
    <w:p w14:paraId="73AC6853" w14:textId="77777777" w:rsidR="000E65DC" w:rsidRPr="00A11265" w:rsidRDefault="000E65DC" w:rsidP="00D24B1D">
      <w:pPr>
        <w:pStyle w:val="Heading4"/>
      </w:pPr>
      <w:r w:rsidRPr="00A11265">
        <w:t>Regulating frequency control service</w:t>
      </w:r>
    </w:p>
    <w:p w14:paraId="3314C74E" w14:textId="59E593B6" w:rsidR="000E65DC" w:rsidRPr="00A11265" w:rsidRDefault="00FB0DBF" w:rsidP="000E65DC">
      <w:pPr>
        <w:rPr>
          <w:rFonts w:asciiTheme="minorHAnsi" w:hAnsiTheme="minorHAnsi" w:cs="Arial"/>
        </w:rPr>
      </w:pPr>
      <w:r w:rsidRPr="00A11265">
        <w:rPr>
          <w:rFonts w:asciiTheme="minorHAnsi" w:hAnsiTheme="minorHAnsi" w:cs="Arial"/>
        </w:rPr>
        <w:t xml:space="preserve">A </w:t>
      </w:r>
      <w:r w:rsidR="000E65DC" w:rsidRPr="00A11265">
        <w:rPr>
          <w:rFonts w:asciiTheme="minorHAnsi" w:hAnsiTheme="minorHAnsi" w:cs="Arial"/>
        </w:rPr>
        <w:t>BESS that</w:t>
      </w:r>
      <w:r w:rsidRPr="00A11265">
        <w:rPr>
          <w:rFonts w:asciiTheme="minorHAnsi" w:hAnsiTheme="minorHAnsi" w:cs="Arial"/>
        </w:rPr>
        <w:t xml:space="preserve"> permits a </w:t>
      </w:r>
      <w:r w:rsidR="000E65DC" w:rsidRPr="00A11265">
        <w:rPr>
          <w:rFonts w:asciiTheme="minorHAnsi" w:hAnsiTheme="minorHAnsi" w:cs="Arial"/>
        </w:rPr>
        <w:t xml:space="preserve">renewable generator to comply with </w:t>
      </w:r>
      <w:r w:rsidRPr="00A11265">
        <w:rPr>
          <w:rFonts w:asciiTheme="minorHAnsi" w:hAnsiTheme="minorHAnsi" w:cs="Arial"/>
        </w:rPr>
        <w:t>the</w:t>
      </w:r>
      <w:r w:rsidR="000E65DC" w:rsidRPr="00A11265">
        <w:rPr>
          <w:rFonts w:asciiTheme="minorHAnsi" w:hAnsiTheme="minorHAnsi" w:cs="Arial"/>
        </w:rPr>
        <w:t xml:space="preserve"> capacity forecasting requirements</w:t>
      </w:r>
      <w:r w:rsidRPr="00A11265">
        <w:rPr>
          <w:rFonts w:asciiTheme="minorHAnsi" w:hAnsiTheme="minorHAnsi" w:cs="Arial"/>
        </w:rPr>
        <w:t xml:space="preserve"> under the GPS</w:t>
      </w:r>
      <w:r w:rsidR="000E65DC" w:rsidRPr="00A11265">
        <w:rPr>
          <w:rFonts w:asciiTheme="minorHAnsi" w:hAnsiTheme="minorHAnsi" w:cs="Arial"/>
        </w:rPr>
        <w:t xml:space="preserve"> may also be technically capable of providing a</w:t>
      </w:r>
      <w:r w:rsidR="00F018AA" w:rsidRPr="00A11265">
        <w:rPr>
          <w:rFonts w:asciiTheme="minorHAnsi" w:hAnsiTheme="minorHAnsi" w:cs="Arial"/>
        </w:rPr>
        <w:t>n additional</w:t>
      </w:r>
      <w:r w:rsidR="000E65DC" w:rsidRPr="00A11265">
        <w:rPr>
          <w:rFonts w:asciiTheme="minorHAnsi" w:hAnsiTheme="minorHAnsi" w:cs="Arial"/>
        </w:rPr>
        <w:t xml:space="preserve"> regulating frequency control service. It is therefore likely that there will be a wider pool of potential providers for a regulating control frequency service, including both synchronous generators and BESS.</w:t>
      </w:r>
    </w:p>
    <w:p w14:paraId="3F2EC1B2" w14:textId="41114CE0" w:rsidR="000E65DC" w:rsidRPr="00A11265" w:rsidRDefault="00F018AA" w:rsidP="000E65DC">
      <w:pPr>
        <w:rPr>
          <w:rFonts w:asciiTheme="minorHAnsi" w:hAnsiTheme="minorHAnsi" w:cs="Arial"/>
        </w:rPr>
      </w:pPr>
      <w:r w:rsidRPr="00A11265">
        <w:rPr>
          <w:rFonts w:asciiTheme="minorHAnsi" w:hAnsiTheme="minorHAnsi" w:cs="Arial"/>
        </w:rPr>
        <w:t>Although</w:t>
      </w:r>
      <w:r w:rsidR="000E65DC" w:rsidRPr="00A11265">
        <w:rPr>
          <w:rFonts w:asciiTheme="minorHAnsi" w:hAnsiTheme="minorHAnsi" w:cs="Arial"/>
        </w:rPr>
        <w:t xml:space="preserve"> BESS may be capable of meeting capacity forecasting requirements and providing a regulating frequency control service, they will not be capable of providing other services while meeting capacity forecasting requirements unless significantly oversized. </w:t>
      </w:r>
      <w:r w:rsidRPr="00A11265">
        <w:rPr>
          <w:rFonts w:asciiTheme="minorHAnsi" w:hAnsiTheme="minorHAnsi" w:cs="Arial"/>
        </w:rPr>
        <w:t>Although p</w:t>
      </w:r>
      <w:r w:rsidR="000E65DC" w:rsidRPr="00A11265">
        <w:rPr>
          <w:rFonts w:asciiTheme="minorHAnsi" w:hAnsiTheme="minorHAnsi" w:cs="Arial"/>
        </w:rPr>
        <w:t xml:space="preserve">roviding a contingency response or </w:t>
      </w:r>
      <w:proofErr w:type="spellStart"/>
      <w:r w:rsidR="000E65DC" w:rsidRPr="00A11265">
        <w:rPr>
          <w:rFonts w:asciiTheme="minorHAnsi" w:hAnsiTheme="minorHAnsi" w:cs="Arial"/>
        </w:rPr>
        <w:t>RoCoF</w:t>
      </w:r>
      <w:proofErr w:type="spellEnd"/>
      <w:r w:rsidR="000E65DC" w:rsidRPr="00A11265">
        <w:rPr>
          <w:rFonts w:asciiTheme="minorHAnsi" w:hAnsiTheme="minorHAnsi" w:cs="Arial"/>
        </w:rPr>
        <w:t xml:space="preserve"> control service would typically deplete the energy stored in a battery system, a regulating frequency control service typically has a lower energy requirement, instead requiring constant charging and discharging cycles, or adjustments to output for a generator. </w:t>
      </w:r>
    </w:p>
    <w:p w14:paraId="7FC992A4" w14:textId="77777777" w:rsidR="000E65DC" w:rsidRPr="00A11265" w:rsidRDefault="000E65DC" w:rsidP="00D24B1D">
      <w:pPr>
        <w:pStyle w:val="Heading4"/>
      </w:pPr>
      <w:r w:rsidRPr="00A11265">
        <w:t>Voltage management / Network support</w:t>
      </w:r>
    </w:p>
    <w:p w14:paraId="161214BD" w14:textId="4140EBC7" w:rsidR="000E65DC" w:rsidRPr="00A11265" w:rsidRDefault="000E65DC" w:rsidP="000E65DC">
      <w:pPr>
        <w:rPr>
          <w:rFonts w:asciiTheme="minorHAnsi" w:hAnsiTheme="minorHAnsi" w:cs="Arial"/>
        </w:rPr>
      </w:pPr>
      <w:r w:rsidRPr="00A11265">
        <w:rPr>
          <w:rFonts w:asciiTheme="minorHAnsi" w:hAnsiTheme="minorHAnsi" w:cs="Arial"/>
        </w:rPr>
        <w:t>A voltage management or network support service should be open to provision from any technology capable of providing reactive and active power support</w:t>
      </w:r>
      <w:r w:rsidR="003749F9">
        <w:rPr>
          <w:rFonts w:asciiTheme="minorHAnsi" w:hAnsiTheme="minorHAnsi" w:cs="Arial"/>
        </w:rPr>
        <w:t xml:space="preserve"> for procurement by the Network Operator</w:t>
      </w:r>
      <w:r w:rsidRPr="00A11265">
        <w:rPr>
          <w:rFonts w:asciiTheme="minorHAnsi" w:hAnsiTheme="minorHAnsi" w:cs="Arial"/>
        </w:rPr>
        <w:t>. This can include inverter-connected technologies such as BESS and solar</w:t>
      </w:r>
      <w:r w:rsidR="00AC6DAF" w:rsidRPr="00A11265">
        <w:rPr>
          <w:rFonts w:asciiTheme="minorHAnsi" w:hAnsiTheme="minorHAnsi" w:cs="Arial"/>
        </w:rPr>
        <w:t xml:space="preserve"> PV</w:t>
      </w:r>
      <w:r w:rsidRPr="00A11265">
        <w:rPr>
          <w:rFonts w:asciiTheme="minorHAnsi" w:hAnsiTheme="minorHAnsi" w:cs="Arial"/>
        </w:rPr>
        <w:t xml:space="preserve">, as well as conventional synchronous </w:t>
      </w:r>
      <w:r w:rsidR="00FE57F5">
        <w:rPr>
          <w:rFonts w:asciiTheme="minorHAnsi" w:hAnsiTheme="minorHAnsi" w:cs="Arial"/>
        </w:rPr>
        <w:t>plant</w:t>
      </w:r>
      <w:r w:rsidRPr="00A11265">
        <w:rPr>
          <w:rFonts w:asciiTheme="minorHAnsi" w:hAnsiTheme="minorHAnsi" w:cs="Arial"/>
        </w:rPr>
        <w:t>. Where network capacity is a temporary issue, for example only occurring at peak demand</w:t>
      </w:r>
      <w:r w:rsidR="00AC6DAF" w:rsidRPr="00A11265">
        <w:rPr>
          <w:rFonts w:asciiTheme="minorHAnsi" w:hAnsiTheme="minorHAnsi" w:cs="Arial"/>
        </w:rPr>
        <w:t>,</w:t>
      </w:r>
      <w:r w:rsidRPr="00A11265">
        <w:rPr>
          <w:rFonts w:asciiTheme="minorHAnsi" w:hAnsiTheme="minorHAnsi" w:cs="Arial"/>
        </w:rPr>
        <w:t xml:space="preserve"> some loads may be willing to provide demand side response for limited periods to resolve this issue. </w:t>
      </w:r>
    </w:p>
    <w:p w14:paraId="4EB26483" w14:textId="77777777" w:rsidR="000E65DC" w:rsidRPr="00A11265" w:rsidRDefault="000E65DC" w:rsidP="00D24B1D">
      <w:pPr>
        <w:pStyle w:val="Heading4"/>
      </w:pPr>
      <w:r w:rsidRPr="00A11265">
        <w:t>Restart services</w:t>
      </w:r>
    </w:p>
    <w:p w14:paraId="129D36A4" w14:textId="0A63CC77" w:rsidR="00D872F0" w:rsidRPr="00A11265" w:rsidRDefault="00D872F0" w:rsidP="000E65DC">
      <w:pPr>
        <w:rPr>
          <w:rFonts w:asciiTheme="minorHAnsi" w:hAnsiTheme="minorHAnsi" w:cs="Arial"/>
        </w:rPr>
      </w:pPr>
      <w:r w:rsidRPr="00A11265">
        <w:rPr>
          <w:rFonts w:asciiTheme="minorHAnsi" w:hAnsiTheme="minorHAnsi" w:cs="Arial"/>
        </w:rPr>
        <w:t>In the short term, restart services are likely to continue being provided by T</w:t>
      </w:r>
      <w:r w:rsidR="006A704A">
        <w:rPr>
          <w:rFonts w:asciiTheme="minorHAnsi" w:hAnsiTheme="minorHAnsi" w:cs="Arial"/>
        </w:rPr>
        <w:noBreakHyphen/>
        <w:t>Gen</w:t>
      </w:r>
      <w:r w:rsidRPr="00A11265">
        <w:rPr>
          <w:rFonts w:asciiTheme="minorHAnsi" w:hAnsiTheme="minorHAnsi" w:cs="Arial"/>
        </w:rPr>
        <w:t xml:space="preserve"> due to the lack of alternatives currently available.</w:t>
      </w:r>
    </w:p>
    <w:p w14:paraId="56BF0C28" w14:textId="1411C691" w:rsidR="000E65DC" w:rsidRPr="00A11265" w:rsidRDefault="000E65DC" w:rsidP="000E65DC">
      <w:pPr>
        <w:rPr>
          <w:rFonts w:asciiTheme="minorHAnsi" w:hAnsiTheme="minorHAnsi" w:cs="Arial"/>
        </w:rPr>
      </w:pPr>
      <w:r w:rsidRPr="00A11265">
        <w:rPr>
          <w:rFonts w:asciiTheme="minorHAnsi" w:hAnsiTheme="minorHAnsi" w:cs="Arial"/>
        </w:rPr>
        <w:t xml:space="preserve">Restart services can be provided by either synchronous generators, or by large-scale inverter connected generation and energy storage systems with ‘grid forming’ capabilities. </w:t>
      </w:r>
    </w:p>
    <w:p w14:paraId="7A424A8C" w14:textId="77777777" w:rsidR="000E65DC" w:rsidRPr="00A11265" w:rsidRDefault="000E65DC" w:rsidP="000E65DC">
      <w:pPr>
        <w:rPr>
          <w:rFonts w:asciiTheme="minorHAnsi" w:hAnsiTheme="minorHAnsi" w:cs="Arial"/>
        </w:rPr>
      </w:pPr>
      <w:r w:rsidRPr="00A11265">
        <w:rPr>
          <w:rFonts w:asciiTheme="minorHAnsi" w:hAnsiTheme="minorHAnsi" w:cs="Arial"/>
        </w:rPr>
        <w:t>Regardless of the technology utilised, a black start service provider needs sufficient capacity to not only restart themselves but to also support the re-energisation of transmission corridors to allow reconnection of loads and other generators. Hence the technology deployed, its capacity and location of a facility are all factors that need to be considered when assessing whether it can act as a viable black start service provider.</w:t>
      </w:r>
    </w:p>
    <w:p w14:paraId="5C32CBE7" w14:textId="77777777" w:rsidR="000E65DC" w:rsidRPr="00A11265" w:rsidRDefault="000E65DC" w:rsidP="00D24B1D">
      <w:pPr>
        <w:pStyle w:val="Heading4"/>
      </w:pPr>
      <w:r w:rsidRPr="00A11265">
        <w:t>System strength</w:t>
      </w:r>
    </w:p>
    <w:p w14:paraId="5A8FA8F4" w14:textId="778DC3CF" w:rsidR="0006038E" w:rsidRDefault="000E65DC" w:rsidP="000E65DC">
      <w:pPr>
        <w:rPr>
          <w:rFonts w:asciiTheme="minorHAnsi" w:hAnsiTheme="minorHAnsi" w:cs="Arial"/>
        </w:rPr>
      </w:pPr>
      <w:r w:rsidRPr="00A11265">
        <w:rPr>
          <w:rFonts w:asciiTheme="minorHAnsi" w:hAnsiTheme="minorHAnsi" w:cs="Arial"/>
        </w:rPr>
        <w:t xml:space="preserve">System strength can be provided by technologies capable of </w:t>
      </w:r>
      <w:r w:rsidR="001913B5">
        <w:rPr>
          <w:rFonts w:asciiTheme="minorHAnsi" w:hAnsiTheme="minorHAnsi" w:cs="Arial"/>
        </w:rPr>
        <w:t xml:space="preserve">contributing </w:t>
      </w:r>
      <w:r w:rsidRPr="00A11265">
        <w:rPr>
          <w:rFonts w:asciiTheme="minorHAnsi" w:hAnsiTheme="minorHAnsi" w:cs="Arial"/>
        </w:rPr>
        <w:t>sufficient fault</w:t>
      </w:r>
      <w:r w:rsidR="00235837">
        <w:rPr>
          <w:rFonts w:asciiTheme="minorHAnsi" w:hAnsiTheme="minorHAnsi" w:cs="Arial"/>
        </w:rPr>
        <w:t xml:space="preserve"> </w:t>
      </w:r>
      <w:r w:rsidR="001913B5">
        <w:rPr>
          <w:rFonts w:asciiTheme="minorHAnsi" w:hAnsiTheme="minorHAnsi" w:cs="Arial"/>
        </w:rPr>
        <w:t>current</w:t>
      </w:r>
      <w:r w:rsidRPr="00A11265">
        <w:rPr>
          <w:rFonts w:asciiTheme="minorHAnsi" w:hAnsiTheme="minorHAnsi" w:cs="Arial"/>
        </w:rPr>
        <w:t>. Rotating plant in the form of either synchronous generators or synchronous condensers are most suited to providing system strength support, however other</w:t>
      </w:r>
      <w:r w:rsidR="000E23CD">
        <w:rPr>
          <w:rFonts w:asciiTheme="minorHAnsi" w:hAnsiTheme="minorHAnsi" w:cs="Arial"/>
        </w:rPr>
        <w:t xml:space="preserve"> emerging</w:t>
      </w:r>
      <w:r w:rsidRPr="00A11265">
        <w:rPr>
          <w:rFonts w:asciiTheme="minorHAnsi" w:hAnsiTheme="minorHAnsi" w:cs="Arial"/>
        </w:rPr>
        <w:t xml:space="preserve"> technologies are capable of providing a fault current contribution</w:t>
      </w:r>
      <w:r w:rsidR="00AC6DAF" w:rsidRPr="00A11265">
        <w:rPr>
          <w:rFonts w:asciiTheme="minorHAnsi" w:hAnsiTheme="minorHAnsi" w:cs="Arial"/>
        </w:rPr>
        <w:t>.</w:t>
      </w:r>
    </w:p>
    <w:p w14:paraId="1F8431AB" w14:textId="149DC3AE" w:rsidR="000E65DC" w:rsidRPr="00A11265" w:rsidRDefault="00614243" w:rsidP="000E65DC">
      <w:pPr>
        <w:rPr>
          <w:rFonts w:asciiTheme="minorHAnsi" w:hAnsiTheme="minorHAnsi" w:cs="Arial"/>
        </w:rPr>
      </w:pPr>
      <w:r w:rsidRPr="00A11265">
        <w:rPr>
          <w:rFonts w:asciiTheme="minorHAnsi" w:hAnsiTheme="minorHAnsi" w:cs="Arial"/>
        </w:rPr>
        <w:t>M</w:t>
      </w:r>
      <w:r w:rsidR="000E65DC" w:rsidRPr="00A11265">
        <w:rPr>
          <w:rFonts w:asciiTheme="minorHAnsi" w:hAnsiTheme="minorHAnsi" w:cs="Arial"/>
        </w:rPr>
        <w:t>itigation measures that can be effective in addressing system strength issues include:</w:t>
      </w:r>
    </w:p>
    <w:p w14:paraId="2D7231FB" w14:textId="77777777" w:rsidR="000E65DC" w:rsidRPr="00A11265" w:rsidRDefault="000E65DC" w:rsidP="001F613E">
      <w:pPr>
        <w:pStyle w:val="ListParagraph"/>
        <w:numPr>
          <w:ilvl w:val="0"/>
          <w:numId w:val="11"/>
        </w:numPr>
        <w:spacing w:before="200"/>
        <w:ind w:left="426"/>
        <w:rPr>
          <w:rFonts w:cs="Arial"/>
        </w:rPr>
      </w:pPr>
      <w:r w:rsidRPr="00A11265">
        <w:rPr>
          <w:rFonts w:cs="Arial"/>
        </w:rPr>
        <w:lastRenderedPageBreak/>
        <w:t>contracting with generators with synchronous generating systems for the provision of system strength services</w:t>
      </w:r>
    </w:p>
    <w:p w14:paraId="10F44141" w14:textId="036897D9" w:rsidR="000E65DC" w:rsidRPr="00A11265" w:rsidRDefault="001913B5" w:rsidP="001F613E">
      <w:pPr>
        <w:pStyle w:val="ListParagraph"/>
        <w:numPr>
          <w:ilvl w:val="0"/>
          <w:numId w:val="11"/>
        </w:numPr>
        <w:spacing w:before="200"/>
        <w:ind w:left="426"/>
        <w:rPr>
          <w:rFonts w:cs="Arial"/>
        </w:rPr>
      </w:pPr>
      <w:r>
        <w:rPr>
          <w:rFonts w:cs="Arial"/>
        </w:rPr>
        <w:t xml:space="preserve">augmenting the </w:t>
      </w:r>
      <w:r w:rsidR="000E65DC" w:rsidRPr="00A11265">
        <w:rPr>
          <w:rFonts w:cs="Arial"/>
        </w:rPr>
        <w:t>network to reduce the impedance between inverter connected generators and synchronous generators providing system strength</w:t>
      </w:r>
    </w:p>
    <w:p w14:paraId="057810A4" w14:textId="77777777" w:rsidR="000E65DC" w:rsidRPr="00A11265" w:rsidRDefault="000E65DC" w:rsidP="001F613E">
      <w:pPr>
        <w:pStyle w:val="ListParagraph"/>
        <w:numPr>
          <w:ilvl w:val="0"/>
          <w:numId w:val="11"/>
        </w:numPr>
        <w:spacing w:before="200"/>
        <w:ind w:left="426"/>
        <w:rPr>
          <w:rFonts w:cs="Arial"/>
        </w:rPr>
      </w:pPr>
      <w:r w:rsidRPr="00A11265">
        <w:rPr>
          <w:rFonts w:cs="Arial"/>
        </w:rPr>
        <w:t>retuning the controls on grid following inverters to reduce the likelihood of unstable behaviour</w:t>
      </w:r>
    </w:p>
    <w:p w14:paraId="6A2315A1" w14:textId="2C3F9782" w:rsidR="000E65DC" w:rsidRPr="00A11265" w:rsidRDefault="000E65DC" w:rsidP="001F613E">
      <w:pPr>
        <w:pStyle w:val="ListParagraph"/>
        <w:numPr>
          <w:ilvl w:val="0"/>
          <w:numId w:val="11"/>
        </w:numPr>
        <w:spacing w:before="200"/>
        <w:ind w:left="426"/>
        <w:rPr>
          <w:rFonts w:cs="Arial"/>
        </w:rPr>
      </w:pPr>
      <w:r w:rsidRPr="00A11265">
        <w:rPr>
          <w:rFonts w:cs="Arial"/>
        </w:rPr>
        <w:t>replacing grid following with grid forming inverters that are less susceptible to</w:t>
      </w:r>
      <w:r w:rsidR="000E23CD">
        <w:rPr>
          <w:rFonts w:cs="Arial"/>
        </w:rPr>
        <w:t xml:space="preserve"> low</w:t>
      </w:r>
      <w:r w:rsidRPr="00A11265">
        <w:rPr>
          <w:rFonts w:cs="Arial"/>
        </w:rPr>
        <w:t xml:space="preserve"> system strength performance issues</w:t>
      </w:r>
    </w:p>
    <w:p w14:paraId="5F01A837" w14:textId="77777777" w:rsidR="000E65DC" w:rsidRPr="00A11265" w:rsidRDefault="000E65DC" w:rsidP="001F613E">
      <w:pPr>
        <w:pStyle w:val="ListParagraph"/>
        <w:numPr>
          <w:ilvl w:val="0"/>
          <w:numId w:val="11"/>
        </w:numPr>
        <w:spacing w:before="200"/>
        <w:ind w:left="426"/>
        <w:rPr>
          <w:rFonts w:cs="Arial"/>
        </w:rPr>
      </w:pPr>
      <w:proofErr w:type="gramStart"/>
      <w:r w:rsidRPr="00A11265">
        <w:rPr>
          <w:rFonts w:cs="Arial"/>
        </w:rPr>
        <w:t>implementing</w:t>
      </w:r>
      <w:proofErr w:type="gramEnd"/>
      <w:r w:rsidRPr="00A11265">
        <w:rPr>
          <w:rFonts w:cs="Arial"/>
        </w:rPr>
        <w:t xml:space="preserve"> post-contingent control schemes that can disconnect part or all of an inverter-based generator to avoid unstable operation.</w:t>
      </w:r>
    </w:p>
    <w:p w14:paraId="4519BA25" w14:textId="05D1243F" w:rsidR="00A60E5C" w:rsidRPr="00A11265" w:rsidRDefault="008D2858" w:rsidP="00B93B82">
      <w:pPr>
        <w:pStyle w:val="Heading3"/>
        <w:rPr>
          <w:szCs w:val="24"/>
          <w:lang w:eastAsia="en-AU"/>
        </w:rPr>
      </w:pPr>
      <w:r w:rsidRPr="00A11265">
        <w:rPr>
          <w:szCs w:val="24"/>
          <w:lang w:eastAsia="en-AU"/>
        </w:rPr>
        <w:t xml:space="preserve">Appropriate </w:t>
      </w:r>
      <w:bookmarkStart w:id="171" w:name="_Toc57813220"/>
      <w:bookmarkStart w:id="172" w:name="_Toc57813358"/>
      <w:bookmarkStart w:id="173" w:name="_Toc57813482"/>
      <w:bookmarkStart w:id="174" w:name="_Toc57889252"/>
      <w:bookmarkStart w:id="175" w:name="_Toc57813222"/>
      <w:bookmarkStart w:id="176" w:name="_Toc57813360"/>
      <w:bookmarkStart w:id="177" w:name="_Toc57813484"/>
      <w:bookmarkStart w:id="178" w:name="_Toc57889254"/>
      <w:bookmarkStart w:id="179" w:name="_Toc57997957"/>
      <w:bookmarkStart w:id="180" w:name="_Toc58068123"/>
      <w:bookmarkStart w:id="181" w:name="_Toc58157011"/>
      <w:bookmarkStart w:id="182" w:name="_Toc58207597"/>
      <w:bookmarkEnd w:id="171"/>
      <w:bookmarkEnd w:id="172"/>
      <w:bookmarkEnd w:id="173"/>
      <w:bookmarkEnd w:id="174"/>
      <w:bookmarkEnd w:id="175"/>
      <w:bookmarkEnd w:id="176"/>
      <w:bookmarkEnd w:id="177"/>
      <w:bookmarkEnd w:id="178"/>
      <w:bookmarkEnd w:id="179"/>
      <w:bookmarkEnd w:id="180"/>
      <w:bookmarkEnd w:id="181"/>
      <w:bookmarkEnd w:id="182"/>
      <w:r w:rsidRPr="00A11265">
        <w:rPr>
          <w:szCs w:val="24"/>
          <w:lang w:eastAsia="en-AU"/>
        </w:rPr>
        <w:t>p</w:t>
      </w:r>
      <w:r w:rsidR="00D67B07" w:rsidRPr="00A11265">
        <w:rPr>
          <w:szCs w:val="24"/>
          <w:lang w:eastAsia="en-AU"/>
        </w:rPr>
        <w:t>rocurement mechanism</w:t>
      </w:r>
      <w:r w:rsidR="006D21BB" w:rsidRPr="00A11265">
        <w:rPr>
          <w:szCs w:val="24"/>
          <w:lang w:eastAsia="en-AU"/>
        </w:rPr>
        <w:t>s</w:t>
      </w:r>
    </w:p>
    <w:p w14:paraId="0B043F23" w14:textId="44E48103" w:rsidR="00881ECF" w:rsidRPr="00A11265" w:rsidRDefault="006D21BB" w:rsidP="00D9724C">
      <w:pPr>
        <w:spacing w:before="200"/>
        <w:rPr>
          <w:rFonts w:asciiTheme="minorHAnsi" w:hAnsiTheme="minorHAnsi" w:cs="Arial"/>
        </w:rPr>
      </w:pPr>
      <w:r w:rsidRPr="00A11265">
        <w:rPr>
          <w:rFonts w:asciiTheme="minorHAnsi" w:hAnsiTheme="minorHAnsi" w:cs="Arial"/>
        </w:rPr>
        <w:t xml:space="preserve">The two </w:t>
      </w:r>
      <w:r w:rsidR="007E5F45" w:rsidRPr="00A11265">
        <w:rPr>
          <w:rFonts w:asciiTheme="minorHAnsi" w:hAnsiTheme="minorHAnsi" w:cs="Arial"/>
        </w:rPr>
        <w:t>types of competitive service provision framework canvassed in the Issues P</w:t>
      </w:r>
      <w:r w:rsidR="00A60E5C" w:rsidRPr="00A11265">
        <w:rPr>
          <w:rFonts w:asciiTheme="minorHAnsi" w:hAnsiTheme="minorHAnsi" w:cs="Arial"/>
        </w:rPr>
        <w:t>aper are:</w:t>
      </w:r>
    </w:p>
    <w:p w14:paraId="72B77B87" w14:textId="4E80140C" w:rsidR="00A60E5C" w:rsidRPr="00A11265" w:rsidRDefault="00A60E5C" w:rsidP="001F613E">
      <w:pPr>
        <w:pStyle w:val="ListParagraph"/>
        <w:numPr>
          <w:ilvl w:val="0"/>
          <w:numId w:val="11"/>
        </w:numPr>
        <w:spacing w:before="200"/>
        <w:ind w:left="426"/>
        <w:rPr>
          <w:rFonts w:asciiTheme="minorHAnsi" w:hAnsiTheme="minorHAnsi" w:cs="Arial"/>
        </w:rPr>
      </w:pPr>
      <w:r w:rsidRPr="00A11265">
        <w:rPr>
          <w:rFonts w:asciiTheme="minorHAnsi" w:hAnsiTheme="minorHAnsi" w:cs="Arial"/>
        </w:rPr>
        <w:t>bilateral contracts</w:t>
      </w:r>
    </w:p>
    <w:p w14:paraId="78175ED1" w14:textId="1D7DA8AA" w:rsidR="00A60E5C" w:rsidRPr="00A11265" w:rsidRDefault="00A60E5C" w:rsidP="001F613E">
      <w:pPr>
        <w:pStyle w:val="ListParagraph"/>
        <w:numPr>
          <w:ilvl w:val="0"/>
          <w:numId w:val="11"/>
        </w:numPr>
        <w:spacing w:before="200"/>
        <w:ind w:left="426"/>
        <w:rPr>
          <w:rFonts w:asciiTheme="minorHAnsi" w:hAnsiTheme="minorHAnsi" w:cs="Arial"/>
          <w:color w:val="002060"/>
        </w:rPr>
      </w:pPr>
      <w:proofErr w:type="gramStart"/>
      <w:r w:rsidRPr="00A11265">
        <w:rPr>
          <w:rFonts w:asciiTheme="minorHAnsi" w:hAnsiTheme="minorHAnsi" w:cs="Arial"/>
        </w:rPr>
        <w:t>pricing</w:t>
      </w:r>
      <w:proofErr w:type="gramEnd"/>
      <w:r w:rsidRPr="00A11265">
        <w:rPr>
          <w:rFonts w:asciiTheme="minorHAnsi" w:hAnsiTheme="minorHAnsi" w:cs="Arial"/>
        </w:rPr>
        <w:t xml:space="preserve"> and dispatch through a spot market.</w:t>
      </w:r>
      <w:r w:rsidR="00E73688" w:rsidRPr="00A11265">
        <w:rPr>
          <w:rFonts w:asciiTheme="minorHAnsi" w:hAnsiTheme="minorHAnsi" w:cs="Arial"/>
          <w:color w:val="002060"/>
        </w:rPr>
        <w:br/>
      </w:r>
    </w:p>
    <w:p w14:paraId="57A19DB2" w14:textId="48676D73" w:rsidR="00A60E5C" w:rsidRPr="00A11265" w:rsidRDefault="00A60E5C" w:rsidP="00D24B1D">
      <w:pPr>
        <w:pStyle w:val="Heading4"/>
      </w:pPr>
      <w:r w:rsidRPr="00A11265">
        <w:t>Efficient provision of services</w:t>
      </w:r>
    </w:p>
    <w:p w14:paraId="37CAF1C3" w14:textId="68672274" w:rsidR="00FD2C5D" w:rsidRPr="00A11265" w:rsidRDefault="00FD2C5D" w:rsidP="00D9724C">
      <w:pPr>
        <w:spacing w:before="200"/>
        <w:rPr>
          <w:rFonts w:asciiTheme="minorHAnsi" w:hAnsiTheme="minorHAnsi" w:cs="Arial"/>
        </w:rPr>
      </w:pPr>
      <w:r w:rsidRPr="00A11265">
        <w:rPr>
          <w:rFonts w:asciiTheme="minorHAnsi" w:hAnsiTheme="minorHAnsi" w:cs="Arial"/>
        </w:rPr>
        <w:t>Spot markets have the advantage of (usually) being highly visible and transparent. However, the disadvantage with the spot market approach, particularly in the context of high fixed (capital) costs, is risk.</w:t>
      </w:r>
    </w:p>
    <w:p w14:paraId="7FA9A49F" w14:textId="64D17084" w:rsidR="00FD2C5D" w:rsidRPr="00A11265" w:rsidRDefault="00FD2C5D" w:rsidP="00D9724C">
      <w:pPr>
        <w:spacing w:before="200"/>
        <w:rPr>
          <w:rFonts w:asciiTheme="minorHAnsi" w:hAnsiTheme="minorHAnsi" w:cs="Arial"/>
        </w:rPr>
      </w:pPr>
      <w:r w:rsidRPr="00A11265">
        <w:rPr>
          <w:rFonts w:asciiTheme="minorHAnsi" w:hAnsiTheme="minorHAnsi" w:cs="Arial"/>
        </w:rPr>
        <w:t>With a typical spot market approach, such as the spot wholesale markets used in the</w:t>
      </w:r>
      <w:r w:rsidR="000B3D8A">
        <w:rPr>
          <w:rFonts w:asciiTheme="minorHAnsi" w:hAnsiTheme="minorHAnsi" w:cs="Arial"/>
        </w:rPr>
        <w:t xml:space="preserve"> National Electricity Market</w:t>
      </w:r>
      <w:r w:rsidRPr="00A11265">
        <w:rPr>
          <w:rFonts w:asciiTheme="minorHAnsi" w:hAnsiTheme="minorHAnsi" w:cs="Arial"/>
        </w:rPr>
        <w:t xml:space="preserve"> </w:t>
      </w:r>
      <w:r w:rsidR="000B3D8A">
        <w:rPr>
          <w:rFonts w:asciiTheme="minorHAnsi" w:hAnsiTheme="minorHAnsi" w:cs="Arial"/>
        </w:rPr>
        <w:t>(</w:t>
      </w:r>
      <w:r w:rsidRPr="00A11265">
        <w:rPr>
          <w:rFonts w:asciiTheme="minorHAnsi" w:hAnsiTheme="minorHAnsi" w:cs="Arial"/>
        </w:rPr>
        <w:t>NEM</w:t>
      </w:r>
      <w:r w:rsidR="000B3D8A">
        <w:rPr>
          <w:rFonts w:asciiTheme="minorHAnsi" w:hAnsiTheme="minorHAnsi" w:cs="Arial"/>
        </w:rPr>
        <w:t>)</w:t>
      </w:r>
      <w:r w:rsidRPr="00A11265">
        <w:rPr>
          <w:rFonts w:asciiTheme="minorHAnsi" w:hAnsiTheme="minorHAnsi" w:cs="Arial"/>
        </w:rPr>
        <w:t>, acquisition is frequent and for a short period. This means that, based on spot markets alone, suppliers cannot be confident of being able to supply the service in question for long enough to earn a reasonable return on their investment and are thus less likely to invest.</w:t>
      </w:r>
    </w:p>
    <w:p w14:paraId="5508C91E" w14:textId="6FBEBC7F" w:rsidR="00F41DCF" w:rsidRPr="00A11265" w:rsidRDefault="00FD2C5D" w:rsidP="00F41DCF">
      <w:pPr>
        <w:spacing w:before="200"/>
        <w:rPr>
          <w:rFonts w:asciiTheme="minorHAnsi" w:hAnsiTheme="minorHAnsi" w:cs="Arial"/>
        </w:rPr>
      </w:pPr>
      <w:r w:rsidRPr="00A11265">
        <w:rPr>
          <w:rFonts w:asciiTheme="minorHAnsi" w:hAnsiTheme="minorHAnsi" w:cs="Arial"/>
        </w:rPr>
        <w:t>To overcome this, energy projects are invariably underpinned by power purchase agreements (PPAs). This occurs even though the generators in question are required to sell all of their output through the NEM spot market. In effect, the market for PPAs becomes as</w:t>
      </w:r>
      <w:r w:rsidR="00F41DCF" w:rsidRPr="00A11265">
        <w:rPr>
          <w:rFonts w:asciiTheme="minorHAnsi" w:hAnsiTheme="minorHAnsi" w:cs="Arial"/>
        </w:rPr>
        <w:t xml:space="preserve"> important, if not more so, for driving efficiencies in generation investment. The spot market is used as a guide to the current and future price of electricity and, as such, as an information input to the PPA.</w:t>
      </w:r>
    </w:p>
    <w:p w14:paraId="31C009C4" w14:textId="2C795541" w:rsidR="00B3208A" w:rsidRPr="00A11265" w:rsidRDefault="00F41DCF" w:rsidP="00F41DCF">
      <w:pPr>
        <w:spacing w:before="200"/>
        <w:rPr>
          <w:rFonts w:asciiTheme="minorHAnsi" w:hAnsiTheme="minorHAnsi" w:cs="Arial"/>
        </w:rPr>
      </w:pPr>
      <w:r w:rsidRPr="00A11265">
        <w:rPr>
          <w:rFonts w:asciiTheme="minorHAnsi" w:hAnsiTheme="minorHAnsi" w:cs="Arial"/>
        </w:rPr>
        <w:t>New renewable energy generators will need to be developed to meet the Government’s renewable energy target. These generators are likely to be accompanied by batteries (or other technologies) to meet the GPS, and will be able t</w:t>
      </w:r>
      <w:r w:rsidR="007E5F45" w:rsidRPr="00A11265">
        <w:rPr>
          <w:rFonts w:asciiTheme="minorHAnsi" w:hAnsiTheme="minorHAnsi" w:cs="Arial"/>
        </w:rPr>
        <w:t>o provide some or all of the essential system services</w:t>
      </w:r>
      <w:r w:rsidRPr="00A11265">
        <w:rPr>
          <w:rFonts w:asciiTheme="minorHAnsi" w:hAnsiTheme="minorHAnsi" w:cs="Arial"/>
        </w:rPr>
        <w:t>. This will require capital investment which will only be made if the investor has reasonable confidence in recovering it. For this reaso</w:t>
      </w:r>
      <w:r w:rsidR="00B3208A" w:rsidRPr="00A11265">
        <w:rPr>
          <w:rFonts w:asciiTheme="minorHAnsi" w:hAnsiTheme="minorHAnsi" w:cs="Arial"/>
        </w:rPr>
        <w:t>n, a market based around longer</w:t>
      </w:r>
      <w:r w:rsidR="00B3208A" w:rsidRPr="00A11265">
        <w:rPr>
          <w:rFonts w:asciiTheme="minorHAnsi" w:hAnsiTheme="minorHAnsi" w:cs="Arial"/>
        </w:rPr>
        <w:noBreakHyphen/>
      </w:r>
      <w:r w:rsidRPr="00A11265">
        <w:rPr>
          <w:rFonts w:asciiTheme="minorHAnsi" w:hAnsiTheme="minorHAnsi" w:cs="Arial"/>
        </w:rPr>
        <w:t>term contracts, rather than a short and frequent spot market, is likely to be more suitable.</w:t>
      </w:r>
    </w:p>
    <w:p w14:paraId="001F0D45" w14:textId="552DF30A" w:rsidR="00512FC8" w:rsidRPr="00A11265" w:rsidRDefault="00512FC8" w:rsidP="00F41DCF">
      <w:pPr>
        <w:spacing w:before="200"/>
        <w:rPr>
          <w:rFonts w:asciiTheme="minorHAnsi" w:hAnsiTheme="minorHAnsi" w:cs="Arial"/>
        </w:rPr>
      </w:pPr>
      <w:r w:rsidRPr="00A11265">
        <w:rPr>
          <w:rFonts w:asciiTheme="minorHAnsi" w:hAnsiTheme="minorHAnsi" w:cs="Arial"/>
        </w:rPr>
        <w:t>The use of bilateral contracts to procure essential system services has the potential to provide sufficient investment certainty, however that certainty is dependent on the tenure of the contracts. To provide investment certainty, contracts would need to be of a longer tenure (such as 5-10 years) for services that are provided infrequently and for which a revenue stream is required to ensure that they are available as and when required, such as system restart services. Contracts could be of a shorter tenure (say two to three years) for services which could be provided with low fixed (capital) costs, or where the fixed costs could be apportio</w:t>
      </w:r>
      <w:r w:rsidR="003F6B61" w:rsidRPr="00A11265">
        <w:rPr>
          <w:rFonts w:asciiTheme="minorHAnsi" w:hAnsiTheme="minorHAnsi" w:cs="Arial"/>
        </w:rPr>
        <w:t>ned between the provision of essential system services</w:t>
      </w:r>
      <w:r w:rsidRPr="00A11265">
        <w:rPr>
          <w:rFonts w:asciiTheme="minorHAnsi" w:hAnsiTheme="minorHAnsi" w:cs="Arial"/>
        </w:rPr>
        <w:t xml:space="preserve"> and energy services.</w:t>
      </w:r>
    </w:p>
    <w:p w14:paraId="5BE6ABD0" w14:textId="47A5A296" w:rsidR="00B3208A" w:rsidRPr="00A11265" w:rsidRDefault="00B3208A" w:rsidP="00D24B1D">
      <w:pPr>
        <w:pStyle w:val="Heading4"/>
        <w:keepNext/>
      </w:pPr>
      <w:r w:rsidRPr="00A11265">
        <w:lastRenderedPageBreak/>
        <w:t>Co</w:t>
      </w:r>
      <w:r w:rsidR="0035542F" w:rsidRPr="00A11265">
        <w:t>-</w:t>
      </w:r>
      <w:r w:rsidRPr="00A11265">
        <w:t>optimising dispatch of energy and essential system services</w:t>
      </w:r>
    </w:p>
    <w:p w14:paraId="5BD7F347" w14:textId="69303DBB" w:rsidR="00B3208A" w:rsidRDefault="00B3208A" w:rsidP="00B3208A">
      <w:pPr>
        <w:spacing w:before="200"/>
        <w:rPr>
          <w:rFonts w:asciiTheme="minorHAnsi" w:hAnsiTheme="minorHAnsi" w:cs="Arial"/>
        </w:rPr>
      </w:pPr>
      <w:r w:rsidRPr="00A11265">
        <w:rPr>
          <w:rFonts w:asciiTheme="minorHAnsi" w:hAnsiTheme="minorHAnsi" w:cs="Arial"/>
        </w:rPr>
        <w:t>Judging the most cost-effective trade-off between energy market dispatch and adjustments to minimise frequency control costs is managed in some markets via the co-optimisation of frequency control services and energy market dispatch through a dispatch algorithm.</w:t>
      </w:r>
    </w:p>
    <w:p w14:paraId="7ABD27F1" w14:textId="59396038" w:rsidR="003F2C45" w:rsidRPr="00A11265" w:rsidRDefault="003F2C45" w:rsidP="00B3208A">
      <w:pPr>
        <w:spacing w:before="200"/>
        <w:rPr>
          <w:rFonts w:asciiTheme="minorHAnsi" w:hAnsiTheme="minorHAnsi" w:cs="Arial"/>
        </w:rPr>
      </w:pPr>
      <w:r w:rsidRPr="003F2C45">
        <w:rPr>
          <w:rFonts w:asciiTheme="minorHAnsi" w:hAnsiTheme="minorHAnsi" w:cs="Arial"/>
        </w:rPr>
        <w:t xml:space="preserve">Further work is required to define </w:t>
      </w:r>
      <w:r w:rsidR="00074521">
        <w:rPr>
          <w:rFonts w:asciiTheme="minorHAnsi" w:hAnsiTheme="minorHAnsi" w:cs="Arial"/>
        </w:rPr>
        <w:t xml:space="preserve">the details of </w:t>
      </w:r>
      <w:r w:rsidRPr="003F2C45">
        <w:rPr>
          <w:rFonts w:asciiTheme="minorHAnsi" w:hAnsiTheme="minorHAnsi" w:cs="Arial"/>
        </w:rPr>
        <w:t>co-optimisation of energy and any essential system se</w:t>
      </w:r>
      <w:r w:rsidR="001C0CC1">
        <w:rPr>
          <w:rFonts w:asciiTheme="minorHAnsi" w:hAnsiTheme="minorHAnsi" w:cs="Arial"/>
        </w:rPr>
        <w:t>rvices in the NT regulated systems</w:t>
      </w:r>
      <w:r w:rsidR="001913B5">
        <w:rPr>
          <w:rFonts w:asciiTheme="minorHAnsi" w:hAnsiTheme="minorHAnsi" w:cs="Arial"/>
        </w:rPr>
        <w:t xml:space="preserve">. It </w:t>
      </w:r>
      <w:r w:rsidR="00074521">
        <w:rPr>
          <w:rFonts w:asciiTheme="minorHAnsi" w:hAnsiTheme="minorHAnsi" w:cs="Arial"/>
        </w:rPr>
        <w:t xml:space="preserve">is </w:t>
      </w:r>
      <w:r w:rsidRPr="003F2C45">
        <w:rPr>
          <w:rFonts w:asciiTheme="minorHAnsi" w:hAnsiTheme="minorHAnsi" w:cs="Arial"/>
        </w:rPr>
        <w:t>more likely to be feasible for the D</w:t>
      </w:r>
      <w:r w:rsidR="00D04F6B">
        <w:rPr>
          <w:rFonts w:asciiTheme="minorHAnsi" w:hAnsiTheme="minorHAnsi" w:cs="Arial"/>
        </w:rPr>
        <w:t>arwin-Katherine system</w:t>
      </w:r>
      <w:r w:rsidRPr="003F2C45">
        <w:rPr>
          <w:rFonts w:asciiTheme="minorHAnsi" w:hAnsiTheme="minorHAnsi" w:cs="Arial"/>
        </w:rPr>
        <w:t>,</w:t>
      </w:r>
      <w:r w:rsidR="00074521">
        <w:rPr>
          <w:rFonts w:asciiTheme="minorHAnsi" w:hAnsiTheme="minorHAnsi" w:cs="Arial"/>
        </w:rPr>
        <w:t xml:space="preserve"> subject to consideration and development of a compatible form of settlement through the proposed contractual arrangements</w:t>
      </w:r>
      <w:r w:rsidR="00CF614B">
        <w:rPr>
          <w:rFonts w:asciiTheme="minorHAnsi" w:hAnsiTheme="minorHAnsi" w:cs="Arial"/>
        </w:rPr>
        <w:t xml:space="preserve"> and</w:t>
      </w:r>
      <w:r w:rsidRPr="003F2C45">
        <w:rPr>
          <w:rFonts w:asciiTheme="minorHAnsi" w:hAnsiTheme="minorHAnsi" w:cs="Arial"/>
        </w:rPr>
        <w:t xml:space="preserve"> given the N</w:t>
      </w:r>
      <w:r w:rsidR="00327B77">
        <w:rPr>
          <w:rFonts w:asciiTheme="minorHAnsi" w:hAnsiTheme="minorHAnsi" w:cs="Arial"/>
        </w:rPr>
        <w:t>orthern Territory Electricity Market</w:t>
      </w:r>
      <w:r w:rsidRPr="003F2C45">
        <w:rPr>
          <w:rFonts w:asciiTheme="minorHAnsi" w:hAnsiTheme="minorHAnsi" w:cs="Arial"/>
        </w:rPr>
        <w:t xml:space="preserve"> reforms compared with the other </w:t>
      </w:r>
      <w:r w:rsidR="00F17647">
        <w:rPr>
          <w:rFonts w:asciiTheme="minorHAnsi" w:hAnsiTheme="minorHAnsi" w:cs="Arial"/>
        </w:rPr>
        <w:t>NT</w:t>
      </w:r>
      <w:r w:rsidRPr="003F2C45">
        <w:rPr>
          <w:rFonts w:asciiTheme="minorHAnsi" w:hAnsiTheme="minorHAnsi" w:cs="Arial"/>
        </w:rPr>
        <w:t xml:space="preserve"> power systems, which will not have a market arrangement which lend themselves to co-optimisation.</w:t>
      </w:r>
    </w:p>
    <w:p w14:paraId="4B5D9C6A" w14:textId="46D3253D" w:rsidR="00B3208A" w:rsidRPr="00A11265" w:rsidRDefault="00B3208A" w:rsidP="00B3208A">
      <w:pPr>
        <w:spacing w:before="200"/>
        <w:rPr>
          <w:rFonts w:asciiTheme="minorHAnsi" w:hAnsiTheme="minorHAnsi" w:cs="Arial"/>
        </w:rPr>
      </w:pPr>
      <w:r w:rsidRPr="00A11265">
        <w:rPr>
          <w:rFonts w:asciiTheme="minorHAnsi" w:hAnsiTheme="minorHAnsi" w:cs="Arial"/>
        </w:rPr>
        <w:t>Use of a competitive contract procurement arrangement does not facilitate co-optimisation as compared to an essential system services spot market. However, the merits of co-optimi</w:t>
      </w:r>
      <w:r w:rsidR="00881FDC" w:rsidRPr="00A11265">
        <w:rPr>
          <w:rFonts w:asciiTheme="minorHAnsi" w:hAnsiTheme="minorHAnsi" w:cs="Arial"/>
        </w:rPr>
        <w:t xml:space="preserve">sation in the NT regulated systems </w:t>
      </w:r>
      <w:r w:rsidRPr="00A11265">
        <w:rPr>
          <w:rFonts w:asciiTheme="minorHAnsi" w:hAnsiTheme="minorHAnsi" w:cs="Arial"/>
        </w:rPr>
        <w:t>must be considered with the counterfactual cost of setting up a spot market for the procureme</w:t>
      </w:r>
      <w:r w:rsidR="00881FDC" w:rsidRPr="00A11265">
        <w:rPr>
          <w:rFonts w:asciiTheme="minorHAnsi" w:hAnsiTheme="minorHAnsi" w:cs="Arial"/>
        </w:rPr>
        <w:t>nt of essential system services.</w:t>
      </w:r>
    </w:p>
    <w:p w14:paraId="7A524883" w14:textId="5195CD29" w:rsidR="00B80B23" w:rsidRPr="00A11265" w:rsidRDefault="00B3208A" w:rsidP="00F41DCF">
      <w:pPr>
        <w:spacing w:before="200"/>
        <w:rPr>
          <w:rFonts w:asciiTheme="minorHAnsi" w:hAnsiTheme="minorHAnsi" w:cs="Arial"/>
        </w:rPr>
      </w:pPr>
      <w:r w:rsidRPr="00A11265">
        <w:rPr>
          <w:rFonts w:asciiTheme="minorHAnsi" w:hAnsiTheme="minorHAnsi" w:cs="Arial"/>
        </w:rPr>
        <w:t>Where BESS provide essential system services, co-optimisation with dispatch is not required. A move to focus solely on co-optimising dispatch and essential system services could miss efficiencies of procurement of essential system services from new technologies, which are not capable</w:t>
      </w:r>
      <w:r w:rsidR="00CE1838">
        <w:rPr>
          <w:rFonts w:asciiTheme="minorHAnsi" w:hAnsiTheme="minorHAnsi" w:cs="Arial"/>
        </w:rPr>
        <w:t xml:space="preserve"> of or constrained by</w:t>
      </w:r>
      <w:r w:rsidRPr="00A11265">
        <w:rPr>
          <w:rFonts w:asciiTheme="minorHAnsi" w:hAnsiTheme="minorHAnsi" w:cs="Arial"/>
        </w:rPr>
        <w:t xml:space="preserve"> co-optimising with dispatch.</w:t>
      </w:r>
    </w:p>
    <w:p w14:paraId="066D5ECF" w14:textId="2EE5E6B8" w:rsidR="00A60E5C" w:rsidRPr="00A11265" w:rsidRDefault="00A60E5C" w:rsidP="00D24B1D">
      <w:pPr>
        <w:pStyle w:val="Heading4"/>
      </w:pPr>
      <w:r w:rsidRPr="00A11265">
        <w:t>Administrative costs</w:t>
      </w:r>
    </w:p>
    <w:p w14:paraId="1B3C9F85" w14:textId="33FF8292" w:rsidR="009D2325" w:rsidRPr="00A11265" w:rsidRDefault="009D2325" w:rsidP="009D2325">
      <w:pPr>
        <w:spacing w:before="200"/>
        <w:rPr>
          <w:rFonts w:asciiTheme="minorHAnsi" w:hAnsiTheme="minorHAnsi" w:cs="Arial"/>
        </w:rPr>
      </w:pPr>
      <w:r w:rsidRPr="00A11265">
        <w:rPr>
          <w:rFonts w:asciiTheme="minorHAnsi" w:hAnsiTheme="minorHAnsi" w:cs="Arial"/>
        </w:rPr>
        <w:t>Under the bilateral</w:t>
      </w:r>
      <w:r w:rsidR="00512FC8" w:rsidRPr="00A11265">
        <w:rPr>
          <w:rFonts w:asciiTheme="minorHAnsi" w:hAnsiTheme="minorHAnsi" w:cs="Arial"/>
        </w:rPr>
        <w:t xml:space="preserve"> contracts option, there would be</w:t>
      </w:r>
      <w:r w:rsidRPr="00A11265">
        <w:rPr>
          <w:rFonts w:asciiTheme="minorHAnsi" w:hAnsiTheme="minorHAnsi" w:cs="Arial"/>
        </w:rPr>
        <w:t xml:space="preserve"> upfront costs associated with conducting some form of competitive process to tender for the services and award contracts to the successful tenderers. These upfront costs would be incurred each time the serv</w:t>
      </w:r>
      <w:r w:rsidR="00512FC8" w:rsidRPr="00A11265">
        <w:rPr>
          <w:rFonts w:asciiTheme="minorHAnsi" w:hAnsiTheme="minorHAnsi" w:cs="Arial"/>
        </w:rPr>
        <w:t>ices are retendered</w:t>
      </w:r>
      <w:r w:rsidRPr="00A11265">
        <w:rPr>
          <w:rFonts w:asciiTheme="minorHAnsi" w:hAnsiTheme="minorHAnsi" w:cs="Arial"/>
        </w:rPr>
        <w:t>. The</w:t>
      </w:r>
      <w:r w:rsidR="00512FC8" w:rsidRPr="00A11265">
        <w:rPr>
          <w:rFonts w:asciiTheme="minorHAnsi" w:hAnsiTheme="minorHAnsi" w:cs="Arial"/>
        </w:rPr>
        <w:t xml:space="preserve"> more frequently the services </w:t>
      </w:r>
      <w:r w:rsidRPr="00A11265">
        <w:rPr>
          <w:rFonts w:asciiTheme="minorHAnsi" w:hAnsiTheme="minorHAnsi" w:cs="Arial"/>
        </w:rPr>
        <w:t>are retendered, the h</w:t>
      </w:r>
      <w:r w:rsidR="00512FC8" w:rsidRPr="00A11265">
        <w:rPr>
          <w:rFonts w:asciiTheme="minorHAnsi" w:hAnsiTheme="minorHAnsi" w:cs="Arial"/>
        </w:rPr>
        <w:t>igher the administrative costs. Once</w:t>
      </w:r>
      <w:r w:rsidRPr="00A11265">
        <w:rPr>
          <w:rFonts w:asciiTheme="minorHAnsi" w:hAnsiTheme="minorHAnsi" w:cs="Arial"/>
        </w:rPr>
        <w:t xml:space="preserve"> bilateral contracts have been entered into, the System Controller would dispatch the services as required in accordance with the terms of the contract. </w:t>
      </w:r>
    </w:p>
    <w:p w14:paraId="4FFC089D" w14:textId="2560602F" w:rsidR="0062633C" w:rsidRPr="00A11265" w:rsidRDefault="009D2325" w:rsidP="009D2325">
      <w:pPr>
        <w:spacing w:before="200"/>
        <w:rPr>
          <w:rFonts w:asciiTheme="minorHAnsi" w:hAnsiTheme="minorHAnsi" w:cs="Arial"/>
        </w:rPr>
      </w:pPr>
      <w:r w:rsidRPr="00A11265">
        <w:rPr>
          <w:rFonts w:asciiTheme="minorHAnsi" w:hAnsiTheme="minorHAnsi" w:cs="Arial"/>
        </w:rPr>
        <w:t>Under t</w:t>
      </w:r>
      <w:r w:rsidR="00512FC8" w:rsidRPr="00A11265">
        <w:rPr>
          <w:rFonts w:asciiTheme="minorHAnsi" w:hAnsiTheme="minorHAnsi" w:cs="Arial"/>
        </w:rPr>
        <w:t>he spot market option, there would be</w:t>
      </w:r>
      <w:r w:rsidRPr="00A11265">
        <w:rPr>
          <w:rFonts w:asciiTheme="minorHAnsi" w:hAnsiTheme="minorHAnsi" w:cs="Arial"/>
        </w:rPr>
        <w:t xml:space="preserve"> upfront costs to establish the rules, processes and systems for the spot market, in which processes and systems are required to be established by the System Controller and the providers of services. There are ongoing costs associated with the registration of providers, the bidding of services by providers and settling payments as well as the dispatch of services as required by the System Controller in accordance with the bids received. While the System Controller must dispatch </w:t>
      </w:r>
      <w:r w:rsidR="0062633C" w:rsidRPr="00A11265">
        <w:rPr>
          <w:rFonts w:asciiTheme="minorHAnsi" w:hAnsiTheme="minorHAnsi" w:cs="Arial"/>
        </w:rPr>
        <w:t>essential system services</w:t>
      </w:r>
      <w:r w:rsidRPr="00A11265">
        <w:rPr>
          <w:rFonts w:asciiTheme="minorHAnsi" w:hAnsiTheme="minorHAnsi" w:cs="Arial"/>
        </w:rPr>
        <w:t xml:space="preserve"> under each of the options, under </w:t>
      </w:r>
      <w:r w:rsidR="0062633C" w:rsidRPr="00A11265">
        <w:rPr>
          <w:rFonts w:asciiTheme="minorHAnsi" w:hAnsiTheme="minorHAnsi" w:cs="Arial"/>
        </w:rPr>
        <w:t>a spot market arrangement</w:t>
      </w:r>
      <w:r w:rsidRPr="00A11265">
        <w:rPr>
          <w:rFonts w:asciiTheme="minorHAnsi" w:hAnsiTheme="minorHAnsi" w:cs="Arial"/>
        </w:rPr>
        <w:t xml:space="preserve"> the System Controller would need to dispatch the services under the more dynamic circumstances associated</w:t>
      </w:r>
      <w:r w:rsidR="001913B5">
        <w:rPr>
          <w:rFonts w:asciiTheme="minorHAnsi" w:hAnsiTheme="minorHAnsi" w:cs="Arial"/>
        </w:rPr>
        <w:t xml:space="preserve"> with that market</w:t>
      </w:r>
      <w:r w:rsidRPr="00A11265">
        <w:rPr>
          <w:rFonts w:asciiTheme="minorHAnsi" w:hAnsiTheme="minorHAnsi" w:cs="Arial"/>
        </w:rPr>
        <w:t>.</w:t>
      </w:r>
    </w:p>
    <w:p w14:paraId="1486643F" w14:textId="5FEB1A68" w:rsidR="00881ECF" w:rsidRPr="00A11265" w:rsidRDefault="0062633C" w:rsidP="009D2325">
      <w:pPr>
        <w:spacing w:before="200"/>
        <w:rPr>
          <w:rFonts w:asciiTheme="minorHAnsi" w:hAnsiTheme="minorHAnsi" w:cs="Arial"/>
        </w:rPr>
      </w:pPr>
      <w:r w:rsidRPr="00A11265">
        <w:rPr>
          <w:rFonts w:asciiTheme="minorHAnsi" w:hAnsiTheme="minorHAnsi" w:cs="Arial"/>
        </w:rPr>
        <w:t>As a consequence, t</w:t>
      </w:r>
      <w:r w:rsidR="009D2325" w:rsidRPr="00A11265">
        <w:rPr>
          <w:rFonts w:asciiTheme="minorHAnsi" w:hAnsiTheme="minorHAnsi" w:cs="Arial"/>
        </w:rPr>
        <w:t>he administrative costs associated with the spot market option are higher than the administrative costs associated with the bilateral contracts option.</w:t>
      </w:r>
      <w:r w:rsidRPr="00A11265">
        <w:rPr>
          <w:rFonts w:asciiTheme="minorHAnsi" w:hAnsiTheme="minorHAnsi" w:cs="Arial"/>
        </w:rPr>
        <w:t xml:space="preserve"> </w:t>
      </w:r>
      <w:r w:rsidR="009D2325" w:rsidRPr="00A11265">
        <w:rPr>
          <w:rFonts w:asciiTheme="minorHAnsi" w:hAnsiTheme="minorHAnsi" w:cs="Arial"/>
        </w:rPr>
        <w:t>An estimate of the administrative costs under each of the</w:t>
      </w:r>
      <w:r w:rsidR="003F6B61" w:rsidRPr="00A11265">
        <w:rPr>
          <w:rFonts w:asciiTheme="minorHAnsi" w:hAnsiTheme="minorHAnsi" w:cs="Arial"/>
        </w:rPr>
        <w:t xml:space="preserve"> options is provided in </w:t>
      </w:r>
      <w:r w:rsidR="00F10663" w:rsidRPr="00A11265">
        <w:rPr>
          <w:rFonts w:asciiTheme="minorHAnsi" w:hAnsiTheme="minorHAnsi" w:cs="Arial"/>
        </w:rPr>
        <w:t>Table 4</w:t>
      </w:r>
      <w:r w:rsidR="003F6B61" w:rsidRPr="00A11265">
        <w:rPr>
          <w:rFonts w:asciiTheme="minorHAnsi" w:hAnsiTheme="minorHAnsi" w:cs="Arial"/>
        </w:rPr>
        <w:t>-</w:t>
      </w:r>
      <w:r w:rsidRPr="00A11265">
        <w:rPr>
          <w:rFonts w:asciiTheme="minorHAnsi" w:hAnsiTheme="minorHAnsi" w:cs="Arial"/>
        </w:rPr>
        <w:t>2</w:t>
      </w:r>
      <w:r w:rsidR="009D2325" w:rsidRPr="00A11265">
        <w:rPr>
          <w:rFonts w:asciiTheme="minorHAnsi" w:hAnsiTheme="minorHAnsi" w:cs="Arial"/>
        </w:rPr>
        <w:t>.</w:t>
      </w:r>
    </w:p>
    <w:p w14:paraId="18EDD734" w14:textId="0EAE5D87" w:rsidR="00AC2AE4" w:rsidRPr="00AA4D6E" w:rsidRDefault="00254B74" w:rsidP="00AC2AE4">
      <w:pPr>
        <w:keepNext/>
        <w:spacing w:after="0"/>
        <w:rPr>
          <w:rFonts w:asciiTheme="minorHAnsi" w:hAnsiTheme="minorHAnsi" w:cs="Arial"/>
          <w:b/>
        </w:rPr>
      </w:pPr>
      <w:r w:rsidRPr="00AA4D6E">
        <w:rPr>
          <w:rFonts w:asciiTheme="minorHAnsi" w:hAnsiTheme="minorHAnsi" w:cs="Arial"/>
          <w:b/>
        </w:rPr>
        <w:lastRenderedPageBreak/>
        <w:t>Table 4</w:t>
      </w:r>
      <w:r w:rsidR="00F10663" w:rsidRPr="00AA4D6E">
        <w:rPr>
          <w:rFonts w:asciiTheme="minorHAnsi" w:hAnsiTheme="minorHAnsi" w:cs="Arial"/>
          <w:b/>
        </w:rPr>
        <w:t>-2</w:t>
      </w:r>
      <w:r w:rsidR="003F6B61" w:rsidRPr="00AA4D6E">
        <w:rPr>
          <w:rFonts w:asciiTheme="minorHAnsi" w:hAnsiTheme="minorHAnsi" w:cs="Arial"/>
          <w:b/>
        </w:rPr>
        <w:tab/>
      </w:r>
      <w:r w:rsidR="00AC2AE4" w:rsidRPr="00AA4D6E">
        <w:rPr>
          <w:rFonts w:asciiTheme="minorHAnsi" w:hAnsiTheme="minorHAnsi" w:cs="Arial"/>
          <w:b/>
        </w:rPr>
        <w:t>Estimated administrative costs for each service provision option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4605"/>
        <w:gridCol w:w="4355"/>
      </w:tblGrid>
      <w:tr w:rsidR="00913BDF" w:rsidRPr="00AA4D6E" w14:paraId="11292155" w14:textId="4FF7792B" w:rsidTr="00D24B1D">
        <w:trPr>
          <w:tblHeader/>
        </w:trPr>
        <w:tc>
          <w:tcPr>
            <w:tcW w:w="0" w:type="auto"/>
            <w:tcBorders>
              <w:top w:val="single" w:sz="4" w:space="0" w:color="auto"/>
              <w:bottom w:val="single" w:sz="4" w:space="0" w:color="auto"/>
            </w:tcBorders>
          </w:tcPr>
          <w:p w14:paraId="776596F7" w14:textId="063BC3A3" w:rsidR="00AC2AE4" w:rsidRPr="00AA4D6E" w:rsidRDefault="00AC2AE4" w:rsidP="0044403F">
            <w:pPr>
              <w:keepNext/>
              <w:rPr>
                <w:rFonts w:asciiTheme="minorHAnsi" w:hAnsiTheme="minorHAnsi" w:cs="Arial"/>
                <w:b/>
              </w:rPr>
            </w:pPr>
            <w:r w:rsidRPr="00AA4D6E">
              <w:rPr>
                <w:rFonts w:asciiTheme="minorHAnsi" w:hAnsiTheme="minorHAnsi"/>
                <w:b/>
              </w:rPr>
              <w:t>Option</w:t>
            </w:r>
          </w:p>
        </w:tc>
        <w:tc>
          <w:tcPr>
            <w:tcW w:w="0" w:type="auto"/>
            <w:tcBorders>
              <w:top w:val="single" w:sz="4" w:space="0" w:color="auto"/>
              <w:bottom w:val="single" w:sz="4" w:space="0" w:color="auto"/>
            </w:tcBorders>
          </w:tcPr>
          <w:p w14:paraId="0F5D80F6" w14:textId="36DA082B" w:rsidR="00AC2AE4" w:rsidRPr="00AA4D6E" w:rsidRDefault="00AC2AE4" w:rsidP="0044403F">
            <w:pPr>
              <w:keepNext/>
              <w:rPr>
                <w:rFonts w:asciiTheme="minorHAnsi" w:hAnsiTheme="minorHAnsi" w:cs="Arial"/>
                <w:b/>
              </w:rPr>
            </w:pPr>
            <w:r w:rsidRPr="00AA4D6E">
              <w:rPr>
                <w:rFonts w:asciiTheme="minorHAnsi" w:hAnsiTheme="minorHAnsi"/>
                <w:b/>
              </w:rPr>
              <w:t>Upfront costs</w:t>
            </w:r>
          </w:p>
        </w:tc>
        <w:tc>
          <w:tcPr>
            <w:tcW w:w="0" w:type="auto"/>
            <w:tcBorders>
              <w:top w:val="single" w:sz="4" w:space="0" w:color="auto"/>
              <w:bottom w:val="single" w:sz="4" w:space="0" w:color="auto"/>
            </w:tcBorders>
          </w:tcPr>
          <w:p w14:paraId="63F04D1F" w14:textId="2E3BA032" w:rsidR="00AC2AE4" w:rsidRPr="00AA4D6E" w:rsidRDefault="00AC2AE4" w:rsidP="0044403F">
            <w:pPr>
              <w:keepNext/>
              <w:rPr>
                <w:rFonts w:asciiTheme="minorHAnsi" w:hAnsiTheme="minorHAnsi"/>
                <w:b/>
              </w:rPr>
            </w:pPr>
            <w:r w:rsidRPr="00AA4D6E">
              <w:rPr>
                <w:rFonts w:asciiTheme="minorHAnsi" w:hAnsiTheme="minorHAnsi"/>
                <w:b/>
              </w:rPr>
              <w:t>Ongoing costs</w:t>
            </w:r>
          </w:p>
        </w:tc>
      </w:tr>
      <w:tr w:rsidR="00913BDF" w:rsidRPr="00AA4D6E" w14:paraId="1A685AB3" w14:textId="52DDA02C" w:rsidTr="00A23B49">
        <w:tc>
          <w:tcPr>
            <w:tcW w:w="0" w:type="auto"/>
            <w:tcBorders>
              <w:top w:val="single" w:sz="4" w:space="0" w:color="auto"/>
              <w:bottom w:val="single" w:sz="4" w:space="0" w:color="auto"/>
            </w:tcBorders>
          </w:tcPr>
          <w:p w14:paraId="59B71648" w14:textId="55526324" w:rsidR="00AC2AE4" w:rsidRPr="00AA4D6E" w:rsidRDefault="00AC2AE4" w:rsidP="0044403F">
            <w:pPr>
              <w:keepNext/>
              <w:spacing w:before="60" w:after="60"/>
              <w:rPr>
                <w:rFonts w:asciiTheme="minorHAnsi" w:hAnsiTheme="minorHAnsi" w:cs="Arial"/>
              </w:rPr>
            </w:pPr>
            <w:r w:rsidRPr="00AA4D6E">
              <w:rPr>
                <w:rFonts w:asciiTheme="minorHAnsi" w:hAnsiTheme="minorHAnsi" w:cs="Arial"/>
              </w:rPr>
              <w:t>Bilateral contracts</w:t>
            </w:r>
          </w:p>
        </w:tc>
        <w:tc>
          <w:tcPr>
            <w:tcW w:w="0" w:type="auto"/>
            <w:tcBorders>
              <w:top w:val="single" w:sz="4" w:space="0" w:color="auto"/>
              <w:bottom w:val="single" w:sz="4" w:space="0" w:color="auto"/>
            </w:tcBorders>
          </w:tcPr>
          <w:p w14:paraId="7A9AA993" w14:textId="2D46E263" w:rsidR="00AC2AE4" w:rsidRPr="00A23B49" w:rsidRDefault="00AC2AE4">
            <w:pPr>
              <w:pStyle w:val="Body"/>
              <w:keepNext/>
              <w:numPr>
                <w:ilvl w:val="0"/>
                <w:numId w:val="15"/>
              </w:numPr>
              <w:spacing w:after="60" w:line="240" w:lineRule="auto"/>
              <w:ind w:left="342" w:hanging="342"/>
              <w:rPr>
                <w:rFonts w:asciiTheme="minorHAnsi" w:hAnsiTheme="minorHAnsi" w:cs="Arial"/>
                <w:sz w:val="22"/>
                <w:szCs w:val="22"/>
              </w:rPr>
            </w:pPr>
            <w:r w:rsidRPr="00A23B49">
              <w:rPr>
                <w:rFonts w:asciiTheme="minorHAnsi" w:hAnsiTheme="minorHAnsi" w:cs="Arial"/>
                <w:sz w:val="22"/>
                <w:szCs w:val="22"/>
              </w:rPr>
              <w:t>$200</w:t>
            </w:r>
            <w:r w:rsidR="00327B77">
              <w:rPr>
                <w:rFonts w:asciiTheme="minorHAnsi" w:hAnsiTheme="minorHAnsi" w:cs="Arial"/>
                <w:sz w:val="22"/>
                <w:szCs w:val="22"/>
              </w:rPr>
              <w:t xml:space="preserve"> 000</w:t>
            </w:r>
            <w:r w:rsidRPr="00A23B49">
              <w:rPr>
                <w:rFonts w:asciiTheme="minorHAnsi" w:hAnsiTheme="minorHAnsi" w:cs="Arial"/>
                <w:sz w:val="22"/>
                <w:szCs w:val="22"/>
              </w:rPr>
              <w:t xml:space="preserve"> </w:t>
            </w:r>
            <w:r w:rsidR="00327B77">
              <w:rPr>
                <w:rFonts w:asciiTheme="minorHAnsi" w:hAnsiTheme="minorHAnsi" w:cs="Arial"/>
                <w:sz w:val="22"/>
                <w:szCs w:val="22"/>
              </w:rPr>
              <w:t>—</w:t>
            </w:r>
            <w:r w:rsidRPr="00A23B49">
              <w:rPr>
                <w:rFonts w:asciiTheme="minorHAnsi" w:hAnsiTheme="minorHAnsi" w:cs="Arial"/>
                <w:sz w:val="22"/>
                <w:szCs w:val="22"/>
              </w:rPr>
              <w:t xml:space="preserve"> $500</w:t>
            </w:r>
            <w:r w:rsidR="00327B77">
              <w:rPr>
                <w:rFonts w:asciiTheme="minorHAnsi" w:hAnsiTheme="minorHAnsi" w:cs="Arial"/>
                <w:sz w:val="22"/>
                <w:szCs w:val="22"/>
              </w:rPr>
              <w:t xml:space="preserve"> 000</w:t>
            </w:r>
            <w:r w:rsidRPr="00A23B49">
              <w:rPr>
                <w:rFonts w:asciiTheme="minorHAnsi" w:hAnsiTheme="minorHAnsi" w:cs="Arial"/>
                <w:sz w:val="22"/>
                <w:szCs w:val="22"/>
              </w:rPr>
              <w:t xml:space="preserve"> each time tender process is conducted plus 1 FTE through the tendering and contracting period</w:t>
            </w:r>
          </w:p>
        </w:tc>
        <w:tc>
          <w:tcPr>
            <w:tcW w:w="0" w:type="auto"/>
            <w:tcBorders>
              <w:top w:val="single" w:sz="4" w:space="0" w:color="auto"/>
              <w:bottom w:val="single" w:sz="4" w:space="0" w:color="auto"/>
            </w:tcBorders>
          </w:tcPr>
          <w:p w14:paraId="1B569666" w14:textId="1367BCD8" w:rsidR="00AC2AE4" w:rsidRPr="00A23B49" w:rsidRDefault="00AC2AE4" w:rsidP="00E02062">
            <w:pPr>
              <w:pStyle w:val="Body"/>
              <w:keepNext/>
              <w:numPr>
                <w:ilvl w:val="0"/>
                <w:numId w:val="15"/>
              </w:numPr>
              <w:spacing w:after="60" w:line="240" w:lineRule="auto"/>
              <w:ind w:left="342" w:hanging="342"/>
              <w:rPr>
                <w:rFonts w:asciiTheme="minorHAnsi" w:hAnsiTheme="minorHAnsi" w:cs="Arial"/>
                <w:sz w:val="22"/>
                <w:szCs w:val="22"/>
              </w:rPr>
            </w:pPr>
            <w:r w:rsidRPr="00A23B49">
              <w:rPr>
                <w:rFonts w:asciiTheme="minorHAnsi" w:hAnsiTheme="minorHAnsi" w:cs="Arial"/>
                <w:sz w:val="22"/>
                <w:szCs w:val="22"/>
              </w:rPr>
              <w:t>Part of 24/7 operation of th</w:t>
            </w:r>
            <w:r w:rsidR="00942115" w:rsidRPr="00A23B49">
              <w:rPr>
                <w:rFonts w:asciiTheme="minorHAnsi" w:hAnsiTheme="minorHAnsi" w:cs="Arial"/>
                <w:sz w:val="22"/>
                <w:szCs w:val="22"/>
              </w:rPr>
              <w:t>e control centre</w:t>
            </w:r>
          </w:p>
        </w:tc>
      </w:tr>
      <w:tr w:rsidR="00913BDF" w:rsidRPr="00AA4D6E" w14:paraId="6BFE450C" w14:textId="63D4756F" w:rsidTr="00A23B49">
        <w:tc>
          <w:tcPr>
            <w:tcW w:w="0" w:type="auto"/>
            <w:tcBorders>
              <w:top w:val="single" w:sz="4" w:space="0" w:color="auto"/>
              <w:bottom w:val="single" w:sz="4" w:space="0" w:color="auto"/>
            </w:tcBorders>
          </w:tcPr>
          <w:p w14:paraId="306C46E4" w14:textId="38A41244" w:rsidR="00AC2AE4" w:rsidRPr="00AA4D6E" w:rsidRDefault="00AC2AE4" w:rsidP="0044403F">
            <w:pPr>
              <w:keepNext/>
              <w:spacing w:before="60" w:after="60"/>
              <w:rPr>
                <w:rFonts w:asciiTheme="minorHAnsi" w:hAnsiTheme="minorHAnsi" w:cs="Arial"/>
              </w:rPr>
            </w:pPr>
            <w:r w:rsidRPr="00AA4D6E">
              <w:rPr>
                <w:rFonts w:asciiTheme="minorHAnsi" w:hAnsiTheme="minorHAnsi" w:cs="Arial"/>
              </w:rPr>
              <w:t>Spot market</w:t>
            </w:r>
          </w:p>
        </w:tc>
        <w:tc>
          <w:tcPr>
            <w:tcW w:w="0" w:type="auto"/>
            <w:tcBorders>
              <w:top w:val="single" w:sz="4" w:space="0" w:color="auto"/>
              <w:bottom w:val="single" w:sz="4" w:space="0" w:color="auto"/>
            </w:tcBorders>
          </w:tcPr>
          <w:p w14:paraId="2292922B" w14:textId="0DC46BE2" w:rsidR="00AC2AE4" w:rsidRPr="00A23B49" w:rsidRDefault="00AC2AE4" w:rsidP="00E02062">
            <w:pPr>
              <w:pStyle w:val="Body"/>
              <w:keepNext/>
              <w:numPr>
                <w:ilvl w:val="0"/>
                <w:numId w:val="15"/>
              </w:numPr>
              <w:spacing w:after="60" w:line="240" w:lineRule="auto"/>
              <w:ind w:left="342" w:hanging="342"/>
              <w:rPr>
                <w:rFonts w:asciiTheme="minorHAnsi" w:hAnsiTheme="minorHAnsi" w:cs="Arial"/>
                <w:sz w:val="22"/>
                <w:szCs w:val="22"/>
              </w:rPr>
            </w:pPr>
            <w:r w:rsidRPr="00A23B49">
              <w:rPr>
                <w:rFonts w:asciiTheme="minorHAnsi" w:hAnsiTheme="minorHAnsi" w:cs="Arial"/>
                <w:sz w:val="22"/>
                <w:szCs w:val="22"/>
              </w:rPr>
              <w:t xml:space="preserve">$2 million </w:t>
            </w:r>
            <w:r w:rsidR="00327B77">
              <w:rPr>
                <w:rFonts w:asciiTheme="minorHAnsi" w:hAnsiTheme="minorHAnsi" w:cs="Arial"/>
                <w:sz w:val="22"/>
                <w:szCs w:val="22"/>
              </w:rPr>
              <w:t xml:space="preserve">– </w:t>
            </w:r>
            <w:r w:rsidRPr="00A23B49">
              <w:rPr>
                <w:rFonts w:asciiTheme="minorHAnsi" w:hAnsiTheme="minorHAnsi" w:cs="Arial"/>
                <w:sz w:val="22"/>
                <w:szCs w:val="22"/>
              </w:rPr>
              <w:t>$10 million to establish the rules, processes and systems</w:t>
            </w:r>
          </w:p>
        </w:tc>
        <w:tc>
          <w:tcPr>
            <w:tcW w:w="0" w:type="auto"/>
            <w:tcBorders>
              <w:top w:val="single" w:sz="4" w:space="0" w:color="auto"/>
              <w:bottom w:val="single" w:sz="4" w:space="0" w:color="auto"/>
            </w:tcBorders>
          </w:tcPr>
          <w:p w14:paraId="68AA0DDF" w14:textId="4D3A9952" w:rsidR="00AC2AE4" w:rsidRPr="00A23B49" w:rsidRDefault="00AC2AE4" w:rsidP="00E02062">
            <w:pPr>
              <w:pStyle w:val="Body"/>
              <w:keepNext/>
              <w:numPr>
                <w:ilvl w:val="0"/>
                <w:numId w:val="15"/>
              </w:numPr>
              <w:spacing w:after="60" w:line="240" w:lineRule="auto"/>
              <w:ind w:left="342" w:hanging="342"/>
              <w:rPr>
                <w:rFonts w:asciiTheme="minorHAnsi" w:hAnsiTheme="minorHAnsi" w:cs="Arial"/>
                <w:sz w:val="22"/>
                <w:szCs w:val="22"/>
              </w:rPr>
            </w:pPr>
            <w:r w:rsidRPr="00A23B49">
              <w:rPr>
                <w:rFonts w:asciiTheme="minorHAnsi" w:hAnsiTheme="minorHAnsi" w:cs="Arial"/>
                <w:sz w:val="22"/>
                <w:szCs w:val="22"/>
              </w:rPr>
              <w:t>Part of 24/7 operation of the control centre, with a higher level of resourcing than the bilateral contracts option</w:t>
            </w:r>
          </w:p>
        </w:tc>
      </w:tr>
    </w:tbl>
    <w:p w14:paraId="4B7ED695" w14:textId="436B8688" w:rsidR="00AC2AE4" w:rsidRPr="00A11265" w:rsidRDefault="00AC2AE4" w:rsidP="00AC2AE4">
      <w:pPr>
        <w:rPr>
          <w:rFonts w:asciiTheme="minorHAnsi" w:hAnsiTheme="minorHAnsi" w:cs="Arial"/>
          <w:sz w:val="18"/>
          <w:szCs w:val="18"/>
        </w:rPr>
      </w:pPr>
      <w:r w:rsidRPr="00A11265">
        <w:rPr>
          <w:rFonts w:asciiTheme="minorHAnsi" w:hAnsiTheme="minorHAnsi" w:cs="Arial"/>
          <w:i/>
          <w:sz w:val="18"/>
          <w:szCs w:val="18"/>
        </w:rPr>
        <w:t>Source:</w:t>
      </w:r>
      <w:r w:rsidR="00913BDF" w:rsidRPr="00A11265">
        <w:rPr>
          <w:rFonts w:asciiTheme="minorHAnsi" w:hAnsiTheme="minorHAnsi" w:cs="Arial"/>
          <w:sz w:val="18"/>
          <w:szCs w:val="18"/>
        </w:rPr>
        <w:t xml:space="preserve"> A</w:t>
      </w:r>
      <w:r w:rsidR="001913B5">
        <w:rPr>
          <w:rFonts w:asciiTheme="minorHAnsi" w:hAnsiTheme="minorHAnsi" w:cs="Arial"/>
          <w:sz w:val="18"/>
          <w:szCs w:val="18"/>
        </w:rPr>
        <w:t>CIL</w:t>
      </w:r>
      <w:r w:rsidR="00913BDF" w:rsidRPr="00A11265">
        <w:rPr>
          <w:rFonts w:asciiTheme="minorHAnsi" w:hAnsiTheme="minorHAnsi" w:cs="Arial"/>
          <w:sz w:val="18"/>
          <w:szCs w:val="18"/>
        </w:rPr>
        <w:t xml:space="preserve"> Allen</w:t>
      </w:r>
    </w:p>
    <w:p w14:paraId="71E8C3B9" w14:textId="7512EC52" w:rsidR="00845ADD" w:rsidRPr="00A11265" w:rsidRDefault="00845ADD" w:rsidP="00D9724C">
      <w:pPr>
        <w:pStyle w:val="Heading2"/>
        <w:keepNext/>
        <w:ind w:left="578" w:hanging="578"/>
        <w:rPr>
          <w:lang w:eastAsia="en-AU"/>
        </w:rPr>
      </w:pPr>
      <w:bookmarkStart w:id="183" w:name="_Toc61956202"/>
      <w:r w:rsidRPr="00A11265">
        <w:rPr>
          <w:lang w:eastAsia="en-AU"/>
        </w:rPr>
        <w:t>Draft position</w:t>
      </w:r>
      <w:bookmarkEnd w:id="183"/>
    </w:p>
    <w:p w14:paraId="118DAFE7" w14:textId="6DB65E3B" w:rsidR="007E6A66" w:rsidRPr="00A11265" w:rsidRDefault="007E6A66" w:rsidP="007E6A66">
      <w:pPr>
        <w:keepNext/>
        <w:rPr>
          <w:rFonts w:asciiTheme="minorHAnsi" w:hAnsiTheme="minorHAnsi" w:cs="Arial"/>
        </w:rPr>
      </w:pPr>
      <w:r w:rsidRPr="00A11265">
        <w:rPr>
          <w:rFonts w:asciiTheme="minorHAnsi" w:hAnsiTheme="minorHAnsi" w:cs="Arial"/>
        </w:rPr>
        <w:t>The current approach to essential system service provision is not a competitive process and therefore won’t facilitate the procurement and least cost dispatch of essential system services as more potential providers enter the market.</w:t>
      </w:r>
    </w:p>
    <w:p w14:paraId="03A1E7B2" w14:textId="77777777" w:rsidR="007E6A66" w:rsidRPr="00A11265" w:rsidRDefault="007E6A66" w:rsidP="007E6A66">
      <w:pPr>
        <w:rPr>
          <w:rFonts w:asciiTheme="minorHAnsi" w:hAnsiTheme="minorHAnsi" w:cs="Arial"/>
        </w:rPr>
      </w:pPr>
      <w:r w:rsidRPr="00A11265">
        <w:rPr>
          <w:rFonts w:asciiTheme="minorHAnsi" w:hAnsiTheme="minorHAnsi" w:cs="Arial"/>
        </w:rPr>
        <w:t>At this stage of the NT regulated systems’ development, the most appropriate balance between costs and benefits would be achieved by the System Controller procuring essential system services through bilateral contracts that are entered into following a competitive tender or reverse auction process.</w:t>
      </w:r>
    </w:p>
    <w:p w14:paraId="754242AC" w14:textId="77777777" w:rsidR="007E6A66" w:rsidRPr="00A11265" w:rsidRDefault="007E6A66" w:rsidP="007E6A66">
      <w:pPr>
        <w:keepNext/>
        <w:rPr>
          <w:rFonts w:asciiTheme="minorHAnsi" w:hAnsiTheme="minorHAnsi" w:cs="Arial"/>
        </w:rPr>
      </w:pPr>
      <w:r w:rsidRPr="00A11265">
        <w:rPr>
          <w:rFonts w:asciiTheme="minorHAnsi" w:hAnsiTheme="minorHAnsi" w:cs="Arial"/>
        </w:rPr>
        <w:t xml:space="preserve">A competitive provision framework for essential system services should </w:t>
      </w:r>
      <w:r w:rsidRPr="00A11265">
        <w:rPr>
          <w:lang w:eastAsia="en-AU"/>
        </w:rPr>
        <w:t>empower and oblige the System Controller to enter into an essential system services contract, where:</w:t>
      </w:r>
    </w:p>
    <w:p w14:paraId="0A04A45E" w14:textId="0849E1B1" w:rsidR="007E6A66" w:rsidRPr="00A11265" w:rsidRDefault="007E6A66" w:rsidP="007E6A66">
      <w:pPr>
        <w:pStyle w:val="ListParagraph"/>
        <w:numPr>
          <w:ilvl w:val="1"/>
          <w:numId w:val="18"/>
        </w:numPr>
        <w:rPr>
          <w:lang w:eastAsia="en-AU"/>
        </w:rPr>
      </w:pPr>
      <w:r w:rsidRPr="00A11265">
        <w:rPr>
          <w:lang w:eastAsia="en-AU"/>
        </w:rPr>
        <w:t>it does not consider it can meet the essential system services requirements from T-Gen’s existing facilities; or</w:t>
      </w:r>
    </w:p>
    <w:p w14:paraId="5220BDDC" w14:textId="77777777" w:rsidR="00900750" w:rsidRPr="00A11265" w:rsidRDefault="007E6A66" w:rsidP="007E6A66">
      <w:pPr>
        <w:pStyle w:val="ListParagraph"/>
        <w:numPr>
          <w:ilvl w:val="1"/>
          <w:numId w:val="18"/>
        </w:numPr>
        <w:rPr>
          <w:lang w:eastAsia="en-AU"/>
        </w:rPr>
      </w:pPr>
      <w:proofErr w:type="gramStart"/>
      <w:r w:rsidRPr="00A11265">
        <w:rPr>
          <w:lang w:eastAsia="en-AU"/>
        </w:rPr>
        <w:t>it</w:t>
      </w:r>
      <w:proofErr w:type="gramEnd"/>
      <w:r w:rsidRPr="00A11265">
        <w:rPr>
          <w:lang w:eastAsia="en-AU"/>
        </w:rPr>
        <w:t xml:space="preserve"> considers an essential system services contract provides a less expensive alternative to essential system services provided by T-Gen’s ’s existing facilities.</w:t>
      </w:r>
    </w:p>
    <w:p w14:paraId="6A7BB311" w14:textId="04A67C07" w:rsidR="00CB560D" w:rsidRPr="00A11265" w:rsidRDefault="00900750" w:rsidP="00F51F16">
      <w:pPr>
        <w:rPr>
          <w:lang w:eastAsia="en-AU"/>
        </w:rPr>
      </w:pPr>
      <w:r w:rsidRPr="00A11265">
        <w:rPr>
          <w:lang w:eastAsia="en-AU"/>
        </w:rPr>
        <w:t>The provision of regulating frequency control is the service most suited to provision through a spot market. As the market for regulating frequency control becomes more competitive, the potential to provide it through a spot market could be reviewed.</w:t>
      </w:r>
      <w:r w:rsidR="00CB560D" w:rsidRPr="00A11265">
        <w:rPr>
          <w:lang w:eastAsia="en-AU"/>
        </w:rPr>
        <w:br w:type="page"/>
      </w:r>
    </w:p>
    <w:p w14:paraId="26918213" w14:textId="14FBD554" w:rsidR="00891B5E" w:rsidRPr="00A11265" w:rsidRDefault="00C10627" w:rsidP="008218E4">
      <w:pPr>
        <w:pStyle w:val="Heading1"/>
        <w:rPr>
          <w:lang w:eastAsia="en-AU"/>
        </w:rPr>
      </w:pPr>
      <w:bookmarkStart w:id="184" w:name="_Toc61956203"/>
      <w:r w:rsidRPr="00A11265">
        <w:rPr>
          <w:lang w:eastAsia="en-AU"/>
        </w:rPr>
        <w:lastRenderedPageBreak/>
        <w:t>Administered p</w:t>
      </w:r>
      <w:r w:rsidR="00891B5E" w:rsidRPr="00A11265">
        <w:rPr>
          <w:lang w:eastAsia="en-AU"/>
        </w:rPr>
        <w:t xml:space="preserve">ricing </w:t>
      </w:r>
      <w:r w:rsidRPr="00A11265">
        <w:rPr>
          <w:lang w:eastAsia="en-AU"/>
        </w:rPr>
        <w:t>arrangements</w:t>
      </w:r>
      <w:r w:rsidR="0049274B" w:rsidRPr="00A11265">
        <w:rPr>
          <w:lang w:eastAsia="en-AU"/>
        </w:rPr>
        <w:t xml:space="preserve"> and market power mitigation</w:t>
      </w:r>
      <w:bookmarkEnd w:id="184"/>
    </w:p>
    <w:p w14:paraId="2220E22E" w14:textId="47DDA477" w:rsidR="009C3558" w:rsidRPr="00A11265" w:rsidRDefault="009C3558" w:rsidP="009C3558">
      <w:pPr>
        <w:rPr>
          <w:rFonts w:asciiTheme="minorHAnsi" w:hAnsiTheme="minorHAnsi" w:cs="Arial"/>
        </w:rPr>
      </w:pPr>
      <w:r w:rsidRPr="00A11265">
        <w:rPr>
          <w:rFonts w:asciiTheme="minorHAnsi" w:hAnsiTheme="minorHAnsi" w:cs="Arial"/>
        </w:rPr>
        <w:t xml:space="preserve">The </w:t>
      </w:r>
      <w:r w:rsidR="00F17647">
        <w:rPr>
          <w:rFonts w:asciiTheme="minorHAnsi" w:hAnsiTheme="minorHAnsi" w:cs="Arial"/>
        </w:rPr>
        <w:t xml:space="preserve">Northern </w:t>
      </w:r>
      <w:r w:rsidRPr="00A11265">
        <w:rPr>
          <w:rFonts w:asciiTheme="minorHAnsi" w:hAnsiTheme="minorHAnsi" w:cs="Arial"/>
        </w:rPr>
        <w:t>Territory’s current Interim Northern Territory Electricity Market (I-NTEM) arrangements include an administered price for essential system services provided by Territory Generation (T-Gen) in the Darwin</w:t>
      </w:r>
      <w:r w:rsidR="00E30A98" w:rsidRPr="00A11265">
        <w:rPr>
          <w:rFonts w:asciiTheme="minorHAnsi" w:hAnsiTheme="minorHAnsi" w:cs="Arial"/>
        </w:rPr>
        <w:noBreakHyphen/>
      </w:r>
      <w:r w:rsidRPr="00A11265">
        <w:rPr>
          <w:rFonts w:asciiTheme="minorHAnsi" w:hAnsiTheme="minorHAnsi" w:cs="Arial"/>
        </w:rPr>
        <w:t xml:space="preserve">Katherine system. The administered price is necessary because there is no market to determine prices for </w:t>
      </w:r>
      <w:r w:rsidR="00E30A98" w:rsidRPr="00A11265">
        <w:rPr>
          <w:rFonts w:asciiTheme="minorHAnsi" w:hAnsiTheme="minorHAnsi" w:cs="Arial"/>
        </w:rPr>
        <w:t>essential system services</w:t>
      </w:r>
      <w:r w:rsidRPr="00A11265">
        <w:rPr>
          <w:rFonts w:asciiTheme="minorHAnsi" w:hAnsiTheme="minorHAnsi" w:cs="Arial"/>
        </w:rPr>
        <w:t xml:space="preserve">. </w:t>
      </w:r>
    </w:p>
    <w:p w14:paraId="6291B7BB" w14:textId="47692D7C" w:rsidR="009C3558" w:rsidRPr="00A11265" w:rsidRDefault="009C3558" w:rsidP="009C3558">
      <w:pPr>
        <w:rPr>
          <w:rFonts w:asciiTheme="minorHAnsi" w:hAnsiTheme="minorHAnsi" w:cs="Arial"/>
        </w:rPr>
      </w:pPr>
      <w:r w:rsidRPr="00A11265">
        <w:rPr>
          <w:rFonts w:asciiTheme="minorHAnsi" w:hAnsiTheme="minorHAnsi" w:cs="Arial"/>
        </w:rPr>
        <w:t>However, even under competitive arrangements for the provision of essential system services, as proposed by the Design Development Team, some form of administered pricing or other market power mitigation measure for essential system services</w:t>
      </w:r>
      <w:r w:rsidR="009E49E2" w:rsidRPr="00A11265">
        <w:rPr>
          <w:rFonts w:asciiTheme="minorHAnsi" w:hAnsiTheme="minorHAnsi" w:cs="Arial"/>
        </w:rPr>
        <w:t xml:space="preserve"> will be required because of the potential incentive or ability of system participants to exert market power given the small size of the NT regulated systems, small number of system participants and </w:t>
      </w:r>
      <w:r w:rsidR="004B5B4B" w:rsidRPr="00A11265">
        <w:rPr>
          <w:rFonts w:asciiTheme="minorHAnsi" w:hAnsiTheme="minorHAnsi" w:cs="Arial"/>
        </w:rPr>
        <w:t xml:space="preserve">current </w:t>
      </w:r>
      <w:r w:rsidR="009E49E2" w:rsidRPr="00A11265">
        <w:rPr>
          <w:rFonts w:asciiTheme="minorHAnsi" w:hAnsiTheme="minorHAnsi" w:cs="Arial"/>
        </w:rPr>
        <w:t>dominance of T-Gen.</w:t>
      </w:r>
    </w:p>
    <w:p w14:paraId="07A8F3D0" w14:textId="40A18FFE" w:rsidR="009C3558" w:rsidRPr="00A11265" w:rsidRDefault="009C3558" w:rsidP="00BF66E8">
      <w:pPr>
        <w:rPr>
          <w:rFonts w:asciiTheme="minorHAnsi" w:hAnsiTheme="minorHAnsi" w:cs="Arial"/>
          <w:color w:val="002060"/>
        </w:rPr>
      </w:pPr>
      <w:r w:rsidRPr="00A11265">
        <w:rPr>
          <w:rFonts w:asciiTheme="minorHAnsi" w:hAnsiTheme="minorHAnsi" w:cs="Arial"/>
        </w:rPr>
        <w:t>Under the scope of this Review (</w:t>
      </w:r>
      <w:r w:rsidR="00B93B82" w:rsidRPr="00A11265">
        <w:rPr>
          <w:rFonts w:asciiTheme="minorHAnsi" w:hAnsiTheme="minorHAnsi" w:cs="Arial"/>
        </w:rPr>
        <w:t>outlined in section 1.2</w:t>
      </w:r>
      <w:r w:rsidRPr="00A11265">
        <w:rPr>
          <w:rFonts w:asciiTheme="minorHAnsi" w:hAnsiTheme="minorHAnsi" w:cs="Arial"/>
        </w:rPr>
        <w:t>), there is a need to address administered pricing for the provision of essential system services by T-Gen under the current monopoly provision arrangements, and also appropriate administered pricing and/or other market power mitigation arrangements that would be appropriate under a competitive framework.</w:t>
      </w:r>
    </w:p>
    <w:p w14:paraId="4A6E90B2" w14:textId="6682073F" w:rsidR="00964B0F" w:rsidRPr="00154622" w:rsidRDefault="00964B0F" w:rsidP="00D9724C">
      <w:pPr>
        <w:pStyle w:val="Heading2"/>
        <w:keepNext/>
      </w:pPr>
      <w:bookmarkStart w:id="185" w:name="_Toc61852400"/>
      <w:bookmarkStart w:id="186" w:name="_Toc61956204"/>
      <w:bookmarkEnd w:id="185"/>
      <w:r w:rsidRPr="00A11265">
        <w:rPr>
          <w:lang w:eastAsia="en-AU"/>
        </w:rPr>
        <w:t>Background</w:t>
      </w:r>
      <w:bookmarkEnd w:id="186"/>
    </w:p>
    <w:p w14:paraId="65E688B3" w14:textId="7B143A6A" w:rsidR="00E02A2B" w:rsidRPr="00A11265" w:rsidRDefault="00E02A2B" w:rsidP="00E02A2B">
      <w:pPr>
        <w:rPr>
          <w:rFonts w:asciiTheme="minorHAnsi" w:hAnsiTheme="minorHAnsi" w:cs="Arial"/>
        </w:rPr>
      </w:pPr>
      <w:r w:rsidRPr="00A11265">
        <w:rPr>
          <w:rFonts w:asciiTheme="minorHAnsi" w:hAnsiTheme="minorHAnsi" w:cs="Arial"/>
        </w:rPr>
        <w:t>The SCTC makes provision for generators</w:t>
      </w:r>
      <w:r w:rsidR="00AA1F61" w:rsidRPr="00A11265">
        <w:rPr>
          <w:rFonts w:asciiTheme="minorHAnsi" w:hAnsiTheme="minorHAnsi" w:cs="Arial"/>
        </w:rPr>
        <w:t xml:space="preserve"> in the Darwin-Katherine system</w:t>
      </w:r>
      <w:r w:rsidRPr="00A11265">
        <w:rPr>
          <w:rFonts w:asciiTheme="minorHAnsi" w:hAnsiTheme="minorHAnsi" w:cs="Arial"/>
        </w:rPr>
        <w:t xml:space="preserve"> to pay </w:t>
      </w:r>
      <w:r w:rsidR="00264A66" w:rsidRPr="00A11265">
        <w:rPr>
          <w:rFonts w:asciiTheme="minorHAnsi" w:hAnsiTheme="minorHAnsi" w:cs="Arial"/>
        </w:rPr>
        <w:t>T</w:t>
      </w:r>
      <w:r w:rsidR="00264A66" w:rsidRPr="00A11265">
        <w:rPr>
          <w:rFonts w:asciiTheme="minorHAnsi" w:hAnsiTheme="minorHAnsi" w:cs="Arial"/>
        </w:rPr>
        <w:noBreakHyphen/>
        <w:t>Gen</w:t>
      </w:r>
      <w:r w:rsidRPr="00A11265">
        <w:rPr>
          <w:rFonts w:asciiTheme="minorHAnsi" w:hAnsiTheme="minorHAnsi" w:cs="Arial"/>
        </w:rPr>
        <w:t xml:space="preserve"> for provision of </w:t>
      </w:r>
      <w:r w:rsidR="00A83203" w:rsidRPr="00A11265">
        <w:rPr>
          <w:rFonts w:asciiTheme="minorHAnsi" w:hAnsiTheme="minorHAnsi" w:cs="Arial"/>
        </w:rPr>
        <w:t>essential system services</w:t>
      </w:r>
      <w:r w:rsidRPr="00A11265">
        <w:rPr>
          <w:rFonts w:asciiTheme="minorHAnsi" w:hAnsiTheme="minorHAnsi" w:cs="Arial"/>
        </w:rPr>
        <w:t xml:space="preserve"> at a rate of $5.40</w:t>
      </w:r>
      <w:r w:rsidR="002B743A" w:rsidRPr="00A11265">
        <w:rPr>
          <w:rFonts w:asciiTheme="minorHAnsi" w:hAnsiTheme="minorHAnsi" w:cs="Arial"/>
        </w:rPr>
        <w:t>/</w:t>
      </w:r>
      <w:r w:rsidR="00327B77">
        <w:rPr>
          <w:rFonts w:asciiTheme="minorHAnsi" w:hAnsiTheme="minorHAnsi" w:cs="Arial"/>
        </w:rPr>
        <w:t>megawatt hour (MWh)</w:t>
      </w:r>
      <w:r w:rsidRPr="00A11265">
        <w:rPr>
          <w:rFonts w:asciiTheme="minorHAnsi" w:hAnsiTheme="minorHAnsi" w:cs="Arial"/>
        </w:rPr>
        <w:t xml:space="preserve"> of electricity sent out</w:t>
      </w:r>
      <w:r w:rsidR="00C33EF0" w:rsidRPr="00A11265">
        <w:rPr>
          <w:rFonts w:asciiTheme="minorHAnsi" w:hAnsiTheme="minorHAnsi" w:cs="Arial"/>
        </w:rPr>
        <w:t>.</w:t>
      </w:r>
    </w:p>
    <w:p w14:paraId="4932B452" w14:textId="14633FDA" w:rsidR="00964B0F" w:rsidRPr="00A11265" w:rsidRDefault="00842614" w:rsidP="00E02A2B">
      <w:pPr>
        <w:rPr>
          <w:rFonts w:asciiTheme="minorHAnsi" w:hAnsiTheme="minorHAnsi" w:cs="Arial"/>
        </w:rPr>
      </w:pPr>
      <w:r w:rsidRPr="00A11265">
        <w:rPr>
          <w:rFonts w:asciiTheme="minorHAnsi" w:hAnsiTheme="minorHAnsi" w:cs="Arial"/>
        </w:rPr>
        <w:t>There are no specific arrangements for pricing</w:t>
      </w:r>
      <w:r w:rsidR="00C00A84" w:rsidRPr="00A11265">
        <w:rPr>
          <w:rFonts w:asciiTheme="minorHAnsi" w:hAnsiTheme="minorHAnsi" w:cs="Arial"/>
        </w:rPr>
        <w:t xml:space="preserve"> or recovery of</w:t>
      </w:r>
      <w:r w:rsidRPr="00A11265">
        <w:rPr>
          <w:rFonts w:asciiTheme="minorHAnsi" w:hAnsiTheme="minorHAnsi" w:cs="Arial"/>
        </w:rPr>
        <w:t xml:space="preserve"> </w:t>
      </w:r>
      <w:r w:rsidR="00A83203" w:rsidRPr="00A11265">
        <w:rPr>
          <w:rFonts w:asciiTheme="minorHAnsi" w:hAnsiTheme="minorHAnsi" w:cs="Arial"/>
        </w:rPr>
        <w:t>essential system services</w:t>
      </w:r>
      <w:r w:rsidRPr="00A11265">
        <w:rPr>
          <w:rFonts w:asciiTheme="minorHAnsi" w:hAnsiTheme="minorHAnsi" w:cs="Arial"/>
        </w:rPr>
        <w:t xml:space="preserve"> in</w:t>
      </w:r>
      <w:r w:rsidR="00C00A84" w:rsidRPr="00A11265">
        <w:rPr>
          <w:rFonts w:asciiTheme="minorHAnsi" w:hAnsiTheme="minorHAnsi" w:cs="Arial"/>
        </w:rPr>
        <w:t xml:space="preserve"> the</w:t>
      </w:r>
      <w:r w:rsidRPr="00A11265">
        <w:rPr>
          <w:rFonts w:asciiTheme="minorHAnsi" w:hAnsiTheme="minorHAnsi" w:cs="Arial"/>
        </w:rPr>
        <w:t xml:space="preserve"> Alice Springs and Tennan</w:t>
      </w:r>
      <w:r w:rsidR="00C00A84" w:rsidRPr="00A11265">
        <w:rPr>
          <w:rFonts w:asciiTheme="minorHAnsi" w:hAnsiTheme="minorHAnsi" w:cs="Arial"/>
        </w:rPr>
        <w:t>t C</w:t>
      </w:r>
      <w:r w:rsidRPr="00A11265">
        <w:rPr>
          <w:rFonts w:asciiTheme="minorHAnsi" w:hAnsiTheme="minorHAnsi" w:cs="Arial"/>
        </w:rPr>
        <w:t>reek</w:t>
      </w:r>
      <w:r w:rsidR="00C00A84" w:rsidRPr="00A11265">
        <w:rPr>
          <w:rFonts w:asciiTheme="minorHAnsi" w:hAnsiTheme="minorHAnsi" w:cs="Arial"/>
        </w:rPr>
        <w:t xml:space="preserve"> systems</w:t>
      </w:r>
      <w:r w:rsidR="00BB2C36" w:rsidRPr="00A11265">
        <w:rPr>
          <w:rFonts w:asciiTheme="minorHAnsi" w:hAnsiTheme="minorHAnsi" w:cs="Arial"/>
        </w:rPr>
        <w:t xml:space="preserve"> under the </w:t>
      </w:r>
      <w:r w:rsidR="00A83203" w:rsidRPr="00A11265">
        <w:rPr>
          <w:rFonts w:asciiTheme="minorHAnsi" w:hAnsiTheme="minorHAnsi" w:cs="Arial"/>
        </w:rPr>
        <w:t>System Control Technical Code (</w:t>
      </w:r>
      <w:r w:rsidR="00BB2C36" w:rsidRPr="00A11265">
        <w:rPr>
          <w:rFonts w:asciiTheme="minorHAnsi" w:hAnsiTheme="minorHAnsi" w:cs="Arial"/>
        </w:rPr>
        <w:t>SCTC</w:t>
      </w:r>
      <w:r w:rsidR="00A83203" w:rsidRPr="00A11265">
        <w:rPr>
          <w:rFonts w:asciiTheme="minorHAnsi" w:hAnsiTheme="minorHAnsi" w:cs="Arial"/>
        </w:rPr>
        <w:t>)</w:t>
      </w:r>
      <w:r w:rsidR="00BB2C36" w:rsidRPr="00A11265">
        <w:rPr>
          <w:rFonts w:asciiTheme="minorHAnsi" w:hAnsiTheme="minorHAnsi" w:cs="Arial"/>
        </w:rPr>
        <w:t xml:space="preserve"> or any</w:t>
      </w:r>
      <w:r w:rsidR="00A83203" w:rsidRPr="00A11265">
        <w:rPr>
          <w:rFonts w:asciiTheme="minorHAnsi" w:hAnsiTheme="minorHAnsi" w:cs="Arial"/>
        </w:rPr>
        <w:t xml:space="preserve"> other</w:t>
      </w:r>
      <w:r w:rsidR="00BB2C36" w:rsidRPr="00A11265">
        <w:rPr>
          <w:rFonts w:asciiTheme="minorHAnsi" w:hAnsiTheme="minorHAnsi" w:cs="Arial"/>
        </w:rPr>
        <w:t xml:space="preserve"> code</w:t>
      </w:r>
      <w:r w:rsidRPr="00A11265">
        <w:rPr>
          <w:rFonts w:asciiTheme="minorHAnsi" w:hAnsiTheme="minorHAnsi" w:cs="Arial"/>
        </w:rPr>
        <w:t>, and to date, the monopoly provision of generation in these systems by or under contract to T</w:t>
      </w:r>
      <w:r w:rsidR="00A83203" w:rsidRPr="00A11265">
        <w:rPr>
          <w:rFonts w:asciiTheme="minorHAnsi" w:hAnsiTheme="minorHAnsi" w:cs="Arial"/>
        </w:rPr>
        <w:t>-Gen</w:t>
      </w:r>
      <w:r w:rsidR="00C00A84" w:rsidRPr="00A11265">
        <w:rPr>
          <w:rFonts w:asciiTheme="minorHAnsi" w:hAnsiTheme="minorHAnsi" w:cs="Arial"/>
        </w:rPr>
        <w:t xml:space="preserve"> has meant these arrangements have not been required.</w:t>
      </w:r>
    </w:p>
    <w:p w14:paraId="1963353B" w14:textId="3A678C24" w:rsidR="00D37EFC" w:rsidRPr="00A11265" w:rsidRDefault="00D37EFC" w:rsidP="00D37EFC">
      <w:pPr>
        <w:pStyle w:val="Heading3"/>
        <w:rPr>
          <w:szCs w:val="24"/>
          <w:lang w:eastAsia="en-AU"/>
        </w:rPr>
      </w:pPr>
      <w:r w:rsidRPr="00A11265">
        <w:rPr>
          <w:szCs w:val="24"/>
          <w:lang w:eastAsia="en-AU"/>
        </w:rPr>
        <w:t>Arrangements in other markets</w:t>
      </w:r>
    </w:p>
    <w:p w14:paraId="0DFDD3EE" w14:textId="3E954172" w:rsidR="00D37EFC" w:rsidRPr="00A11265" w:rsidRDefault="00D37EFC" w:rsidP="00D37EFC">
      <w:pPr>
        <w:rPr>
          <w:rFonts w:asciiTheme="minorHAnsi" w:hAnsiTheme="minorHAnsi" w:cs="Arial"/>
        </w:rPr>
      </w:pPr>
      <w:r w:rsidRPr="00A11265">
        <w:rPr>
          <w:rFonts w:asciiTheme="minorHAnsi" w:hAnsiTheme="minorHAnsi" w:cs="Arial"/>
        </w:rPr>
        <w:t xml:space="preserve">In the </w:t>
      </w:r>
      <w:r w:rsidR="00311B24" w:rsidRPr="00A11265">
        <w:rPr>
          <w:rFonts w:asciiTheme="minorHAnsi" w:hAnsiTheme="minorHAnsi" w:cs="Arial"/>
        </w:rPr>
        <w:t>National Electricity Market</w:t>
      </w:r>
      <w:r w:rsidRPr="00A11265">
        <w:rPr>
          <w:rFonts w:asciiTheme="minorHAnsi" w:hAnsiTheme="minorHAnsi" w:cs="Arial"/>
        </w:rPr>
        <w:t>, in response to</w:t>
      </w:r>
      <w:r w:rsidRPr="00A11265">
        <w:t xml:space="preserve"> </w:t>
      </w:r>
      <w:r w:rsidRPr="00A11265">
        <w:rPr>
          <w:rFonts w:asciiTheme="minorHAnsi" w:hAnsiTheme="minorHAnsi" w:cs="Arial"/>
        </w:rPr>
        <w:t>concerns about Hydro Tasmania’s dominance of the Tasmanian energy generation market and the spot market for FCAS, in 2011 the Tasmanian Economic Regulator (TER) decided to implement pricing regulation. Under the TER’s determination, Hydro Tasmania was required to offer a ‘safety net’ FCAS hedge contract to other generators to meet their market liabilities and for which the price was based on Hydro Tasmania’s costs of physically delivering to the spot market the amount of FCAS nominated.</w:t>
      </w:r>
      <w:r w:rsidRPr="00A11265">
        <w:rPr>
          <w:rStyle w:val="FootnoteReference"/>
          <w:rFonts w:asciiTheme="minorHAnsi" w:hAnsiTheme="minorHAnsi" w:cs="Arial"/>
        </w:rPr>
        <w:footnoteReference w:id="40"/>
      </w:r>
      <w:r w:rsidRPr="00A11265">
        <w:rPr>
          <w:rFonts w:asciiTheme="minorHAnsi" w:hAnsiTheme="minorHAnsi" w:cs="Arial"/>
        </w:rPr>
        <w:t xml:space="preserve"> The pricing regulation was revoked by the TER in 2015.</w:t>
      </w:r>
    </w:p>
    <w:p w14:paraId="5DB80D7A" w14:textId="5211F2B0" w:rsidR="00D37EFC" w:rsidRPr="00A11265" w:rsidRDefault="00D37EFC" w:rsidP="00D37EFC">
      <w:pPr>
        <w:rPr>
          <w:rFonts w:asciiTheme="minorHAnsi" w:hAnsiTheme="minorHAnsi" w:cs="Arial"/>
        </w:rPr>
      </w:pPr>
      <w:r w:rsidRPr="00A11265">
        <w:rPr>
          <w:rFonts w:asciiTheme="minorHAnsi" w:hAnsiTheme="minorHAnsi" w:cs="Arial"/>
        </w:rPr>
        <w:t xml:space="preserve">In the </w:t>
      </w:r>
      <w:r w:rsidR="00A769B4">
        <w:rPr>
          <w:rFonts w:asciiTheme="minorHAnsi" w:hAnsiTheme="minorHAnsi" w:cs="Arial"/>
        </w:rPr>
        <w:t>Western Australian Wholesale Electricity Market</w:t>
      </w:r>
      <w:r w:rsidRPr="00A11265">
        <w:rPr>
          <w:rFonts w:asciiTheme="minorHAnsi" w:hAnsiTheme="minorHAnsi" w:cs="Arial"/>
        </w:rPr>
        <w:t>, where the government-owned generator-retailer Synergy has a considerable market share, arrangements to mitigate market power include:</w:t>
      </w:r>
    </w:p>
    <w:p w14:paraId="78E9EE1D" w14:textId="7EFC958A" w:rsidR="00D37EFC" w:rsidRPr="00A11265" w:rsidRDefault="00D37EFC" w:rsidP="00D37EFC">
      <w:pPr>
        <w:pStyle w:val="ListParagraph"/>
        <w:numPr>
          <w:ilvl w:val="0"/>
          <w:numId w:val="11"/>
        </w:numPr>
        <w:spacing w:before="200"/>
        <w:ind w:left="426"/>
        <w:rPr>
          <w:rFonts w:cs="Arial"/>
        </w:rPr>
      </w:pPr>
      <w:r w:rsidRPr="00A11265">
        <w:rPr>
          <w:rFonts w:cs="Arial"/>
        </w:rPr>
        <w:t>a requirement in the market rules for Synergy to make essential system services available to the System Controller on request as the default provider; and</w:t>
      </w:r>
    </w:p>
    <w:p w14:paraId="0BF03663" w14:textId="3B01DB40" w:rsidR="00D37EFC" w:rsidRPr="00A11265" w:rsidRDefault="00D37EFC" w:rsidP="00E02A2B">
      <w:pPr>
        <w:pStyle w:val="ListParagraph"/>
        <w:numPr>
          <w:ilvl w:val="0"/>
          <w:numId w:val="11"/>
        </w:numPr>
        <w:spacing w:before="200"/>
        <w:ind w:left="426"/>
        <w:rPr>
          <w:rFonts w:cs="Arial"/>
        </w:rPr>
      </w:pPr>
      <w:proofErr w:type="gramStart"/>
      <w:r w:rsidRPr="00A11265">
        <w:rPr>
          <w:rFonts w:cs="Arial"/>
        </w:rPr>
        <w:t>regulation</w:t>
      </w:r>
      <w:proofErr w:type="gramEnd"/>
      <w:r w:rsidRPr="00A11265">
        <w:rPr>
          <w:rFonts w:cs="Arial"/>
        </w:rPr>
        <w:t xml:space="preserve"> of payments received by Synergy for the provision of non-market essential system services, according to market rules and parameters approved by the Economic Regulation Authority of Western Australia.</w:t>
      </w:r>
    </w:p>
    <w:p w14:paraId="5109F571" w14:textId="36739415" w:rsidR="00EF7F92" w:rsidRPr="00A11265" w:rsidRDefault="00EF7F92" w:rsidP="00D9724C">
      <w:pPr>
        <w:pStyle w:val="Heading3"/>
        <w:rPr>
          <w:szCs w:val="24"/>
          <w:lang w:eastAsia="en-AU"/>
        </w:rPr>
      </w:pPr>
      <w:r w:rsidRPr="00A11265">
        <w:rPr>
          <w:szCs w:val="24"/>
          <w:lang w:eastAsia="en-AU"/>
        </w:rPr>
        <w:lastRenderedPageBreak/>
        <w:t>Case for change</w:t>
      </w:r>
    </w:p>
    <w:p w14:paraId="07A45087" w14:textId="15981F49" w:rsidR="00B815E6" w:rsidRPr="00A11265" w:rsidRDefault="009C2B2F" w:rsidP="00CD3D1D">
      <w:pPr>
        <w:rPr>
          <w:rFonts w:asciiTheme="minorHAnsi" w:hAnsiTheme="minorHAnsi" w:cs="Arial"/>
        </w:rPr>
      </w:pPr>
      <w:r w:rsidRPr="00A11265">
        <w:rPr>
          <w:rFonts w:asciiTheme="minorHAnsi" w:hAnsiTheme="minorHAnsi" w:cs="Arial"/>
        </w:rPr>
        <w:t>The</w:t>
      </w:r>
      <w:r w:rsidR="00D057AB" w:rsidRPr="00A11265">
        <w:rPr>
          <w:rFonts w:asciiTheme="minorHAnsi" w:hAnsiTheme="minorHAnsi" w:cs="Arial"/>
        </w:rPr>
        <w:t xml:space="preserve"> current administered</w:t>
      </w:r>
      <w:r w:rsidRPr="00A11265">
        <w:rPr>
          <w:rFonts w:asciiTheme="minorHAnsi" w:hAnsiTheme="minorHAnsi" w:cs="Arial"/>
        </w:rPr>
        <w:t xml:space="preserve"> price</w:t>
      </w:r>
      <w:r w:rsidR="00D057AB" w:rsidRPr="00A11265">
        <w:rPr>
          <w:rFonts w:asciiTheme="minorHAnsi" w:hAnsiTheme="minorHAnsi" w:cs="Arial"/>
        </w:rPr>
        <w:t xml:space="preserve"> </w:t>
      </w:r>
      <w:r w:rsidR="00A83203" w:rsidRPr="00A11265">
        <w:rPr>
          <w:rFonts w:asciiTheme="minorHAnsi" w:hAnsiTheme="minorHAnsi" w:cs="Arial"/>
        </w:rPr>
        <w:t>for</w:t>
      </w:r>
      <w:r w:rsidR="00D057AB" w:rsidRPr="00A11265">
        <w:rPr>
          <w:rFonts w:asciiTheme="minorHAnsi" w:hAnsiTheme="minorHAnsi" w:cs="Arial"/>
        </w:rPr>
        <w:t xml:space="preserve"> </w:t>
      </w:r>
      <w:r w:rsidR="00EF7F92" w:rsidRPr="00A11265">
        <w:rPr>
          <w:rFonts w:asciiTheme="minorHAnsi" w:hAnsiTheme="minorHAnsi" w:cs="Arial"/>
        </w:rPr>
        <w:t>essential system services</w:t>
      </w:r>
      <w:r w:rsidR="00D057AB" w:rsidRPr="00A11265">
        <w:rPr>
          <w:rFonts w:asciiTheme="minorHAnsi" w:hAnsiTheme="minorHAnsi" w:cs="Arial"/>
        </w:rPr>
        <w:t xml:space="preserve"> for the Darwin-Katherine system</w:t>
      </w:r>
      <w:r w:rsidRPr="00A11265">
        <w:rPr>
          <w:rFonts w:asciiTheme="minorHAnsi" w:hAnsiTheme="minorHAnsi" w:cs="Arial"/>
        </w:rPr>
        <w:t xml:space="preserve"> was included in amendments to the SCTC</w:t>
      </w:r>
      <w:r w:rsidR="008168FD" w:rsidRPr="00A11265">
        <w:rPr>
          <w:rFonts w:asciiTheme="minorHAnsi" w:hAnsiTheme="minorHAnsi" w:cs="Arial"/>
        </w:rPr>
        <w:t xml:space="preserve"> in 2015 that introduced</w:t>
      </w:r>
      <w:r w:rsidR="00D057AB" w:rsidRPr="00A11265">
        <w:rPr>
          <w:rFonts w:asciiTheme="minorHAnsi" w:hAnsiTheme="minorHAnsi" w:cs="Arial"/>
        </w:rPr>
        <w:t xml:space="preserve"> the </w:t>
      </w:r>
      <w:r w:rsidR="00312857" w:rsidRPr="00A11265">
        <w:rPr>
          <w:rFonts w:asciiTheme="minorHAnsi" w:hAnsiTheme="minorHAnsi" w:cs="Arial"/>
        </w:rPr>
        <w:t>I</w:t>
      </w:r>
      <w:r w:rsidR="00A83203" w:rsidRPr="00A11265">
        <w:rPr>
          <w:rFonts w:asciiTheme="minorHAnsi" w:hAnsiTheme="minorHAnsi" w:cs="Arial"/>
        </w:rPr>
        <w:noBreakHyphen/>
      </w:r>
      <w:r w:rsidR="00312857" w:rsidRPr="00A11265">
        <w:rPr>
          <w:rFonts w:asciiTheme="minorHAnsi" w:hAnsiTheme="minorHAnsi" w:cs="Arial"/>
        </w:rPr>
        <w:t>NTEM</w:t>
      </w:r>
      <w:r w:rsidR="008168FD" w:rsidRPr="00A11265">
        <w:rPr>
          <w:rFonts w:asciiTheme="minorHAnsi" w:hAnsiTheme="minorHAnsi" w:cs="Arial"/>
        </w:rPr>
        <w:t>.</w:t>
      </w:r>
      <w:r w:rsidRPr="00A11265">
        <w:rPr>
          <w:rFonts w:asciiTheme="minorHAnsi" w:hAnsiTheme="minorHAnsi" w:cs="Arial"/>
        </w:rPr>
        <w:t xml:space="preserve"> It is understood the price</w:t>
      </w:r>
      <w:r w:rsidR="009A2AE7" w:rsidRPr="00A11265">
        <w:rPr>
          <w:rFonts w:asciiTheme="minorHAnsi" w:hAnsiTheme="minorHAnsi" w:cs="Arial"/>
        </w:rPr>
        <w:t xml:space="preserve"> of $5.40</w:t>
      </w:r>
      <w:r w:rsidR="00AA1F61" w:rsidRPr="00A11265">
        <w:rPr>
          <w:rFonts w:asciiTheme="minorHAnsi" w:hAnsiTheme="minorHAnsi" w:cs="Arial"/>
        </w:rPr>
        <w:t xml:space="preserve"> </w:t>
      </w:r>
      <w:r w:rsidR="001913B5">
        <w:rPr>
          <w:rFonts w:asciiTheme="minorHAnsi" w:hAnsiTheme="minorHAnsi" w:cs="Arial"/>
        </w:rPr>
        <w:t xml:space="preserve">per MWh </w:t>
      </w:r>
      <w:r w:rsidR="00AA1F61" w:rsidRPr="00A11265">
        <w:rPr>
          <w:rFonts w:asciiTheme="minorHAnsi" w:hAnsiTheme="minorHAnsi" w:cs="Arial"/>
        </w:rPr>
        <w:t>wa</w:t>
      </w:r>
      <w:r w:rsidRPr="00A11265">
        <w:rPr>
          <w:rFonts w:asciiTheme="minorHAnsi" w:hAnsiTheme="minorHAnsi" w:cs="Arial"/>
        </w:rPr>
        <w:t>s</w:t>
      </w:r>
      <w:r w:rsidR="00AA1F61" w:rsidRPr="00A11265">
        <w:rPr>
          <w:rFonts w:asciiTheme="minorHAnsi" w:hAnsiTheme="minorHAnsi" w:cs="Arial"/>
        </w:rPr>
        <w:t xml:space="preserve"> based on a high</w:t>
      </w:r>
      <w:r w:rsidR="00AA1F61" w:rsidRPr="00A11265">
        <w:rPr>
          <w:rFonts w:asciiTheme="minorHAnsi" w:hAnsiTheme="minorHAnsi" w:cs="Arial"/>
        </w:rPr>
        <w:noBreakHyphen/>
        <w:t>level assessment of costs to T</w:t>
      </w:r>
      <w:r w:rsidR="00264A66" w:rsidRPr="00A11265">
        <w:rPr>
          <w:rFonts w:asciiTheme="minorHAnsi" w:hAnsiTheme="minorHAnsi" w:cs="Arial"/>
        </w:rPr>
        <w:noBreakHyphen/>
      </w:r>
      <w:r w:rsidR="00AA1F61" w:rsidRPr="00A11265">
        <w:rPr>
          <w:rFonts w:asciiTheme="minorHAnsi" w:hAnsiTheme="minorHAnsi" w:cs="Arial"/>
        </w:rPr>
        <w:t>Gen</w:t>
      </w:r>
      <w:r w:rsidR="008168FD" w:rsidRPr="00A11265">
        <w:rPr>
          <w:rFonts w:asciiTheme="minorHAnsi" w:hAnsiTheme="minorHAnsi" w:cs="Arial"/>
        </w:rPr>
        <w:t xml:space="preserve"> of providing </w:t>
      </w:r>
      <w:r w:rsidR="00264A66" w:rsidRPr="00A11265">
        <w:rPr>
          <w:rFonts w:asciiTheme="minorHAnsi" w:hAnsiTheme="minorHAnsi" w:cs="Arial"/>
        </w:rPr>
        <w:t>essential system services</w:t>
      </w:r>
      <w:r w:rsidR="008168FD" w:rsidRPr="00A11265">
        <w:rPr>
          <w:rFonts w:asciiTheme="minorHAnsi" w:hAnsiTheme="minorHAnsi" w:cs="Arial"/>
        </w:rPr>
        <w:t xml:space="preserve"> at that time. H</w:t>
      </w:r>
      <w:r w:rsidRPr="00A11265">
        <w:rPr>
          <w:rFonts w:asciiTheme="minorHAnsi" w:hAnsiTheme="minorHAnsi" w:cs="Arial"/>
        </w:rPr>
        <w:t>owever, in the instrument approving the SCTC amendments, the Utilities C</w:t>
      </w:r>
      <w:r w:rsidR="009A2AE7" w:rsidRPr="00A11265">
        <w:rPr>
          <w:rFonts w:asciiTheme="minorHAnsi" w:hAnsiTheme="minorHAnsi" w:cs="Arial"/>
        </w:rPr>
        <w:t>ommission stated</w:t>
      </w:r>
      <w:r w:rsidR="008168FD" w:rsidRPr="00A11265">
        <w:rPr>
          <w:rFonts w:asciiTheme="minorHAnsi" w:hAnsiTheme="minorHAnsi" w:cs="Arial"/>
        </w:rPr>
        <w:t xml:space="preserve"> that</w:t>
      </w:r>
      <w:r w:rsidRPr="00A11265">
        <w:rPr>
          <w:rFonts w:asciiTheme="minorHAnsi" w:hAnsiTheme="minorHAnsi" w:cs="Arial"/>
        </w:rPr>
        <w:t xml:space="preserve"> </w:t>
      </w:r>
      <w:r w:rsidR="00DF3424" w:rsidRPr="00A11265">
        <w:rPr>
          <w:rFonts w:asciiTheme="minorHAnsi" w:hAnsiTheme="minorHAnsi" w:cs="Arial"/>
        </w:rPr>
        <w:t xml:space="preserve">the </w:t>
      </w:r>
      <w:r w:rsidRPr="00A11265">
        <w:rPr>
          <w:rFonts w:asciiTheme="minorHAnsi" w:hAnsiTheme="minorHAnsi" w:cs="Arial"/>
        </w:rPr>
        <w:t>P</w:t>
      </w:r>
      <w:r w:rsidR="00DF3424" w:rsidRPr="00A11265">
        <w:rPr>
          <w:rFonts w:asciiTheme="minorHAnsi" w:hAnsiTheme="minorHAnsi" w:cs="Arial"/>
        </w:rPr>
        <w:t>ower and Water Corporation</w:t>
      </w:r>
      <w:r w:rsidR="00BC7422">
        <w:rPr>
          <w:rFonts w:asciiTheme="minorHAnsi" w:hAnsiTheme="minorHAnsi" w:cs="Arial"/>
        </w:rPr>
        <w:t xml:space="preserve"> (PWC)</w:t>
      </w:r>
      <w:r w:rsidR="009A2AE7" w:rsidRPr="00A11265">
        <w:rPr>
          <w:rFonts w:asciiTheme="minorHAnsi" w:hAnsiTheme="minorHAnsi" w:cs="Arial"/>
        </w:rPr>
        <w:t xml:space="preserve"> should</w:t>
      </w:r>
      <w:r w:rsidRPr="00A11265">
        <w:rPr>
          <w:rFonts w:asciiTheme="minorHAnsi" w:hAnsiTheme="minorHAnsi" w:cs="Arial"/>
        </w:rPr>
        <w:t xml:space="preserve"> commenc</w:t>
      </w:r>
      <w:r w:rsidR="00D057AB" w:rsidRPr="00A11265">
        <w:rPr>
          <w:rFonts w:asciiTheme="minorHAnsi" w:hAnsiTheme="minorHAnsi" w:cs="Arial"/>
        </w:rPr>
        <w:t xml:space="preserve">e a review of </w:t>
      </w:r>
      <w:r w:rsidR="00264A66" w:rsidRPr="00A11265">
        <w:rPr>
          <w:rFonts w:asciiTheme="minorHAnsi" w:hAnsiTheme="minorHAnsi" w:cs="Arial"/>
        </w:rPr>
        <w:t>essential system services</w:t>
      </w:r>
      <w:r w:rsidRPr="00A11265">
        <w:rPr>
          <w:rFonts w:asciiTheme="minorHAnsi" w:hAnsiTheme="minorHAnsi" w:cs="Arial"/>
        </w:rPr>
        <w:t xml:space="preserve"> within six months, and</w:t>
      </w:r>
      <w:r w:rsidR="00677A77" w:rsidRPr="00A11265">
        <w:rPr>
          <w:rFonts w:asciiTheme="minorHAnsi" w:hAnsiTheme="minorHAnsi" w:cs="Arial"/>
        </w:rPr>
        <w:t xml:space="preserve"> subsequent to the completion of the review,</w:t>
      </w:r>
      <w:r w:rsidR="009A2AE7" w:rsidRPr="00A11265">
        <w:rPr>
          <w:rFonts w:asciiTheme="minorHAnsi" w:hAnsiTheme="minorHAnsi" w:cs="Arial"/>
        </w:rPr>
        <w:t xml:space="preserve"> it </w:t>
      </w:r>
      <w:r w:rsidRPr="00A11265">
        <w:rPr>
          <w:rFonts w:asciiTheme="minorHAnsi" w:hAnsiTheme="minorHAnsi" w:cs="Arial"/>
        </w:rPr>
        <w:t xml:space="preserve">would make a determination relating to prices </w:t>
      </w:r>
      <w:r w:rsidR="00D057AB" w:rsidRPr="00A11265">
        <w:rPr>
          <w:rFonts w:asciiTheme="minorHAnsi" w:hAnsiTheme="minorHAnsi" w:cs="Arial"/>
        </w:rPr>
        <w:t xml:space="preserve">for providing </w:t>
      </w:r>
      <w:r w:rsidR="00264A66" w:rsidRPr="00A11265">
        <w:rPr>
          <w:rFonts w:asciiTheme="minorHAnsi" w:hAnsiTheme="minorHAnsi" w:cs="Arial"/>
        </w:rPr>
        <w:t>essential system services</w:t>
      </w:r>
      <w:r w:rsidRPr="00A11265">
        <w:rPr>
          <w:rFonts w:asciiTheme="minorHAnsi" w:hAnsiTheme="minorHAnsi" w:cs="Arial"/>
        </w:rPr>
        <w:t>.</w:t>
      </w:r>
      <w:r w:rsidRPr="00A11265">
        <w:rPr>
          <w:rStyle w:val="FootnoteReference"/>
          <w:rFonts w:asciiTheme="minorHAnsi" w:hAnsiTheme="minorHAnsi" w:cs="Arial"/>
        </w:rPr>
        <w:footnoteReference w:id="41"/>
      </w:r>
      <w:r w:rsidRPr="00A11265">
        <w:rPr>
          <w:rFonts w:asciiTheme="minorHAnsi" w:hAnsiTheme="minorHAnsi" w:cs="Arial"/>
        </w:rPr>
        <w:t xml:space="preserve"> To date, no review</w:t>
      </w:r>
      <w:r w:rsidR="008168FD" w:rsidRPr="00A11265">
        <w:rPr>
          <w:rFonts w:asciiTheme="minorHAnsi" w:hAnsiTheme="minorHAnsi" w:cs="Arial"/>
        </w:rPr>
        <w:t xml:space="preserve"> of </w:t>
      </w:r>
      <w:r w:rsidR="00A83CC6" w:rsidRPr="00A11265">
        <w:rPr>
          <w:rFonts w:asciiTheme="minorHAnsi" w:hAnsiTheme="minorHAnsi" w:cs="Arial"/>
        </w:rPr>
        <w:t>essential system services</w:t>
      </w:r>
      <w:r w:rsidRPr="00A11265">
        <w:rPr>
          <w:rFonts w:asciiTheme="minorHAnsi" w:hAnsiTheme="minorHAnsi" w:cs="Arial"/>
        </w:rPr>
        <w:t xml:space="preserve"> by </w:t>
      </w:r>
      <w:r w:rsidR="00BC7422">
        <w:rPr>
          <w:rFonts w:asciiTheme="minorHAnsi" w:hAnsiTheme="minorHAnsi" w:cs="Arial"/>
        </w:rPr>
        <w:t>PWC</w:t>
      </w:r>
      <w:r w:rsidR="008168FD" w:rsidRPr="00A11265">
        <w:rPr>
          <w:rFonts w:asciiTheme="minorHAnsi" w:hAnsiTheme="minorHAnsi" w:cs="Arial"/>
        </w:rPr>
        <w:t xml:space="preserve"> </w:t>
      </w:r>
      <w:r w:rsidRPr="00A11265">
        <w:rPr>
          <w:rFonts w:asciiTheme="minorHAnsi" w:hAnsiTheme="minorHAnsi" w:cs="Arial"/>
        </w:rPr>
        <w:t xml:space="preserve">or determination </w:t>
      </w:r>
      <w:r w:rsidR="008168FD" w:rsidRPr="00A11265">
        <w:rPr>
          <w:rFonts w:asciiTheme="minorHAnsi" w:hAnsiTheme="minorHAnsi" w:cs="Arial"/>
        </w:rPr>
        <w:t>on pricing by the Utilities Commission has been made.</w:t>
      </w:r>
    </w:p>
    <w:p w14:paraId="45B1F527" w14:textId="36B31FC2" w:rsidR="00EE23F4" w:rsidRPr="00A11265" w:rsidRDefault="00CD3D1D" w:rsidP="00AA1F61">
      <w:pPr>
        <w:rPr>
          <w:rFonts w:asciiTheme="minorHAnsi" w:hAnsiTheme="minorHAnsi" w:cs="Arial"/>
        </w:rPr>
      </w:pPr>
      <w:r w:rsidRPr="00A11265">
        <w:rPr>
          <w:rFonts w:asciiTheme="minorHAnsi" w:hAnsiTheme="minorHAnsi" w:cs="Arial"/>
        </w:rPr>
        <w:t xml:space="preserve">There has been </w:t>
      </w:r>
      <w:r w:rsidR="00D241B1" w:rsidRPr="00A11265">
        <w:rPr>
          <w:rFonts w:asciiTheme="minorHAnsi" w:hAnsiTheme="minorHAnsi" w:cs="Arial"/>
        </w:rPr>
        <w:t>substantial activity in the Darwin-Katherine system</w:t>
      </w:r>
      <w:r w:rsidR="009324E5" w:rsidRPr="00A11265">
        <w:rPr>
          <w:rFonts w:asciiTheme="minorHAnsi" w:hAnsiTheme="minorHAnsi" w:cs="Arial"/>
        </w:rPr>
        <w:t xml:space="preserve"> since 2015</w:t>
      </w:r>
      <w:r w:rsidRPr="00A11265">
        <w:rPr>
          <w:rFonts w:asciiTheme="minorHAnsi" w:hAnsiTheme="minorHAnsi" w:cs="Arial"/>
        </w:rPr>
        <w:t xml:space="preserve"> </w:t>
      </w:r>
      <w:r w:rsidR="001913B5">
        <w:rPr>
          <w:rFonts w:asciiTheme="minorHAnsi" w:hAnsiTheme="minorHAnsi" w:cs="Arial"/>
        </w:rPr>
        <w:t xml:space="preserve">that is </w:t>
      </w:r>
      <w:r w:rsidRPr="00A11265">
        <w:rPr>
          <w:rFonts w:asciiTheme="minorHAnsi" w:hAnsiTheme="minorHAnsi" w:cs="Arial"/>
        </w:rPr>
        <w:t xml:space="preserve">likely to have impacted on the provision of </w:t>
      </w:r>
      <w:r w:rsidR="00264A66" w:rsidRPr="00A11265">
        <w:rPr>
          <w:rFonts w:asciiTheme="minorHAnsi" w:hAnsiTheme="minorHAnsi" w:cs="Arial"/>
        </w:rPr>
        <w:t>essential system services</w:t>
      </w:r>
      <w:r w:rsidRPr="00A11265">
        <w:rPr>
          <w:rFonts w:asciiTheme="minorHAnsi" w:hAnsiTheme="minorHAnsi" w:cs="Arial"/>
        </w:rPr>
        <w:t xml:space="preserve"> and thus T</w:t>
      </w:r>
      <w:r w:rsidR="00264A66" w:rsidRPr="00A11265">
        <w:rPr>
          <w:rFonts w:asciiTheme="minorHAnsi" w:hAnsiTheme="minorHAnsi" w:cs="Arial"/>
        </w:rPr>
        <w:noBreakHyphen/>
        <w:t>Gen</w:t>
      </w:r>
      <w:r w:rsidRPr="00A11265">
        <w:rPr>
          <w:rFonts w:asciiTheme="minorHAnsi" w:hAnsiTheme="minorHAnsi" w:cs="Arial"/>
        </w:rPr>
        <w:t>’s cost</w:t>
      </w:r>
      <w:r w:rsidR="00264A66" w:rsidRPr="00A11265">
        <w:rPr>
          <w:rFonts w:asciiTheme="minorHAnsi" w:hAnsiTheme="minorHAnsi" w:cs="Arial"/>
        </w:rPr>
        <w:t>s to provide them</w:t>
      </w:r>
      <w:r w:rsidRPr="00A11265">
        <w:rPr>
          <w:rFonts w:asciiTheme="minorHAnsi" w:hAnsiTheme="minorHAnsi" w:cs="Arial"/>
        </w:rPr>
        <w:t xml:space="preserve">. </w:t>
      </w:r>
      <w:r w:rsidR="00AA1F61" w:rsidRPr="00A11265">
        <w:rPr>
          <w:rFonts w:asciiTheme="minorHAnsi" w:hAnsiTheme="minorHAnsi" w:cs="Arial"/>
        </w:rPr>
        <w:t>The administered price is now regarded</w:t>
      </w:r>
      <w:r w:rsidR="00A769B4">
        <w:rPr>
          <w:rFonts w:asciiTheme="minorHAnsi" w:hAnsiTheme="minorHAnsi" w:cs="Arial"/>
        </w:rPr>
        <w:t xml:space="preserve"> as</w:t>
      </w:r>
      <w:r w:rsidR="00AA1F61" w:rsidRPr="00A11265">
        <w:rPr>
          <w:rFonts w:asciiTheme="minorHAnsi" w:hAnsiTheme="minorHAnsi" w:cs="Arial"/>
        </w:rPr>
        <w:t xml:space="preserve"> a ‘placeholder’ i</w:t>
      </w:r>
      <w:r w:rsidR="00977CF8" w:rsidRPr="00A11265">
        <w:rPr>
          <w:rFonts w:asciiTheme="minorHAnsi" w:hAnsiTheme="minorHAnsi" w:cs="Arial"/>
        </w:rPr>
        <w:t>n lieu of any other alternative and needs to be reviewed.</w:t>
      </w:r>
    </w:p>
    <w:p w14:paraId="5716B627" w14:textId="77777777" w:rsidR="00F62958" w:rsidRPr="00A11265" w:rsidRDefault="00F62958" w:rsidP="00AA1F61">
      <w:pPr>
        <w:rPr>
          <w:rFonts w:asciiTheme="minorHAnsi" w:hAnsiTheme="minorHAnsi" w:cs="Arial"/>
        </w:rPr>
      </w:pPr>
      <w:r w:rsidRPr="00A11265">
        <w:rPr>
          <w:rFonts w:asciiTheme="minorHAnsi" w:hAnsiTheme="minorHAnsi" w:cs="Arial"/>
        </w:rPr>
        <w:t>Other deficiencies in the current administered pricing arrangement</w:t>
      </w:r>
      <w:r w:rsidR="00B9415F" w:rsidRPr="00A11265">
        <w:rPr>
          <w:rFonts w:asciiTheme="minorHAnsi" w:hAnsiTheme="minorHAnsi" w:cs="Arial"/>
        </w:rPr>
        <w:t xml:space="preserve">s </w:t>
      </w:r>
      <w:r w:rsidRPr="00A11265">
        <w:rPr>
          <w:rFonts w:asciiTheme="minorHAnsi" w:hAnsiTheme="minorHAnsi" w:cs="Arial"/>
        </w:rPr>
        <w:t>include</w:t>
      </w:r>
      <w:r w:rsidR="00D241B1" w:rsidRPr="00A11265">
        <w:rPr>
          <w:rFonts w:asciiTheme="minorHAnsi" w:hAnsiTheme="minorHAnsi" w:cs="Arial"/>
        </w:rPr>
        <w:t xml:space="preserve"> that</w:t>
      </w:r>
      <w:r w:rsidRPr="00A11265">
        <w:rPr>
          <w:rFonts w:asciiTheme="minorHAnsi" w:hAnsiTheme="minorHAnsi" w:cs="Arial"/>
        </w:rPr>
        <w:t>:</w:t>
      </w:r>
    </w:p>
    <w:p w14:paraId="1D56DFF8" w14:textId="3EAE73F8" w:rsidR="009324E5" w:rsidRPr="00A11265" w:rsidRDefault="00B9415F" w:rsidP="001F613E">
      <w:pPr>
        <w:pStyle w:val="ListParagraph"/>
        <w:numPr>
          <w:ilvl w:val="0"/>
          <w:numId w:val="11"/>
        </w:numPr>
        <w:spacing w:before="200"/>
        <w:ind w:left="426"/>
        <w:rPr>
          <w:rFonts w:cs="Arial"/>
        </w:rPr>
      </w:pPr>
      <w:r w:rsidRPr="00A11265">
        <w:rPr>
          <w:rFonts w:cs="Arial"/>
        </w:rPr>
        <w:t>t</w:t>
      </w:r>
      <w:r w:rsidR="009324E5" w:rsidRPr="00A11265">
        <w:rPr>
          <w:rFonts w:cs="Arial"/>
        </w:rPr>
        <w:t>he</w:t>
      </w:r>
      <w:r w:rsidRPr="00A11265">
        <w:rPr>
          <w:rFonts w:cs="Arial"/>
        </w:rPr>
        <w:t xml:space="preserve"> single bundled</w:t>
      </w:r>
      <w:r w:rsidR="009324E5" w:rsidRPr="00A11265">
        <w:rPr>
          <w:rFonts w:cs="Arial"/>
        </w:rPr>
        <w:t xml:space="preserve"> pric</w:t>
      </w:r>
      <w:r w:rsidRPr="00A11265">
        <w:rPr>
          <w:rFonts w:cs="Arial"/>
        </w:rPr>
        <w:t>e</w:t>
      </w:r>
      <w:r w:rsidR="009324E5" w:rsidRPr="00A11265">
        <w:rPr>
          <w:rFonts w:cs="Arial"/>
        </w:rPr>
        <w:t xml:space="preserve"> does not provide</w:t>
      </w:r>
      <w:r w:rsidR="00F62958" w:rsidRPr="00A11265">
        <w:rPr>
          <w:rFonts w:cs="Arial"/>
        </w:rPr>
        <w:t xml:space="preserve"> system participants with</w:t>
      </w:r>
      <w:r w:rsidR="009324E5" w:rsidRPr="00A11265">
        <w:rPr>
          <w:rFonts w:cs="Arial"/>
        </w:rPr>
        <w:t xml:space="preserve"> an understanding of the costs of individual or categories of </w:t>
      </w:r>
      <w:r w:rsidR="00041825" w:rsidRPr="00A11265">
        <w:rPr>
          <w:rFonts w:cs="Arial"/>
        </w:rPr>
        <w:t>essential system services</w:t>
      </w:r>
      <w:r w:rsidR="00BE4F0E" w:rsidRPr="00A11265">
        <w:rPr>
          <w:rFonts w:cs="Arial"/>
        </w:rPr>
        <w:t xml:space="preserve"> captured by the rate, and i</w:t>
      </w:r>
      <w:r w:rsidR="009324E5" w:rsidRPr="00A11265">
        <w:rPr>
          <w:rFonts w:cs="Arial"/>
        </w:rPr>
        <w:t>ntroducing this further degree of transparency would provide for a better understanding by government and industry of the cost of key services required t</w:t>
      </w:r>
      <w:r w:rsidR="00D241B1" w:rsidRPr="00A11265">
        <w:rPr>
          <w:rFonts w:cs="Arial"/>
        </w:rPr>
        <w:t>o support power system security</w:t>
      </w:r>
    </w:p>
    <w:p w14:paraId="28DAF2DB" w14:textId="704F31AB" w:rsidR="00AA1F61" w:rsidRPr="00A11265" w:rsidRDefault="00850A81" w:rsidP="001F613E">
      <w:pPr>
        <w:pStyle w:val="ListParagraph"/>
        <w:numPr>
          <w:ilvl w:val="0"/>
          <w:numId w:val="11"/>
        </w:numPr>
        <w:spacing w:before="200"/>
        <w:ind w:left="426"/>
        <w:rPr>
          <w:rFonts w:cs="Arial"/>
        </w:rPr>
      </w:pPr>
      <w:proofErr w:type="gramStart"/>
      <w:r w:rsidRPr="00A11265">
        <w:rPr>
          <w:rFonts w:cs="Arial"/>
        </w:rPr>
        <w:t>there</w:t>
      </w:r>
      <w:proofErr w:type="gramEnd"/>
      <w:r w:rsidRPr="00A11265">
        <w:rPr>
          <w:rFonts w:cs="Arial"/>
        </w:rPr>
        <w:t xml:space="preserve"> is no mechanism for the administered price to change over time with changing conditions, </w:t>
      </w:r>
      <w:r w:rsidR="00EE23F4" w:rsidRPr="00A11265">
        <w:rPr>
          <w:rFonts w:cs="Arial"/>
        </w:rPr>
        <w:t xml:space="preserve">such as the introduction of substantial new generation and emerging technologies for providing </w:t>
      </w:r>
      <w:r w:rsidR="00041825" w:rsidRPr="00A11265">
        <w:rPr>
          <w:rFonts w:cs="Arial"/>
        </w:rPr>
        <w:t>essential system services</w:t>
      </w:r>
      <w:r w:rsidRPr="00A11265">
        <w:rPr>
          <w:rFonts w:cs="Arial"/>
        </w:rPr>
        <w:t>, and formalising arrangements for the price to remain</w:t>
      </w:r>
      <w:r w:rsidR="00EE23F4" w:rsidRPr="00A11265">
        <w:rPr>
          <w:rFonts w:cs="Arial"/>
        </w:rPr>
        <w:t xml:space="preserve"> up to date on an ongoing bas</w:t>
      </w:r>
      <w:r w:rsidR="006A6BFC" w:rsidRPr="00A11265">
        <w:rPr>
          <w:rFonts w:cs="Arial"/>
        </w:rPr>
        <w:t>is wo</w:t>
      </w:r>
      <w:r w:rsidRPr="00A11265">
        <w:rPr>
          <w:rFonts w:cs="Arial"/>
        </w:rPr>
        <w:t>uld enhance certainty for system participants.</w:t>
      </w:r>
    </w:p>
    <w:p w14:paraId="72A37327" w14:textId="62B6ACC0" w:rsidR="00FE110B" w:rsidRPr="00A11265" w:rsidRDefault="006514DC">
      <w:pPr>
        <w:rPr>
          <w:rFonts w:asciiTheme="minorHAnsi" w:hAnsiTheme="minorHAnsi" w:cs="Arial"/>
        </w:rPr>
      </w:pPr>
      <w:r w:rsidRPr="00A11265">
        <w:rPr>
          <w:rFonts w:asciiTheme="minorHAnsi" w:hAnsiTheme="minorHAnsi" w:cs="Arial"/>
        </w:rPr>
        <w:t>T</w:t>
      </w:r>
      <w:r w:rsidR="00BB2C36" w:rsidRPr="00A11265">
        <w:rPr>
          <w:rFonts w:asciiTheme="minorHAnsi" w:hAnsiTheme="minorHAnsi" w:cs="Arial"/>
        </w:rPr>
        <w:t xml:space="preserve">he lack of any arrangement for pricing or cost recovery of </w:t>
      </w:r>
      <w:r w:rsidR="00041825" w:rsidRPr="00A11265">
        <w:rPr>
          <w:rFonts w:asciiTheme="minorHAnsi" w:hAnsiTheme="minorHAnsi" w:cs="Arial"/>
        </w:rPr>
        <w:t>essential system services</w:t>
      </w:r>
      <w:r w:rsidR="00BB2C36" w:rsidRPr="00A11265">
        <w:rPr>
          <w:rFonts w:asciiTheme="minorHAnsi" w:hAnsiTheme="minorHAnsi" w:cs="Arial"/>
        </w:rPr>
        <w:t xml:space="preserve"> provision in</w:t>
      </w:r>
      <w:r w:rsidRPr="00A11265">
        <w:rPr>
          <w:rFonts w:asciiTheme="minorHAnsi" w:hAnsiTheme="minorHAnsi" w:cs="Arial"/>
        </w:rPr>
        <w:t xml:space="preserve"> </w:t>
      </w:r>
      <w:r w:rsidR="00127E81" w:rsidRPr="00A11265">
        <w:rPr>
          <w:rFonts w:asciiTheme="minorHAnsi" w:hAnsiTheme="minorHAnsi" w:cs="Arial"/>
        </w:rPr>
        <w:t>Alice Springs and Tennant C</w:t>
      </w:r>
      <w:r w:rsidR="00BB2C36" w:rsidRPr="00A11265">
        <w:rPr>
          <w:rFonts w:asciiTheme="minorHAnsi" w:hAnsiTheme="minorHAnsi" w:cs="Arial"/>
        </w:rPr>
        <w:t>reek has not posed signif</w:t>
      </w:r>
      <w:r w:rsidR="00D241B1" w:rsidRPr="00A11265">
        <w:rPr>
          <w:rFonts w:asciiTheme="minorHAnsi" w:hAnsiTheme="minorHAnsi" w:cs="Arial"/>
        </w:rPr>
        <w:t>icant difficulties to date while</w:t>
      </w:r>
      <w:r w:rsidR="00BB2C36" w:rsidRPr="00A11265">
        <w:rPr>
          <w:rFonts w:asciiTheme="minorHAnsi" w:hAnsiTheme="minorHAnsi" w:cs="Arial"/>
        </w:rPr>
        <w:t xml:space="preserve"> T</w:t>
      </w:r>
      <w:r w:rsidR="00041825" w:rsidRPr="00A11265">
        <w:rPr>
          <w:rFonts w:asciiTheme="minorHAnsi" w:hAnsiTheme="minorHAnsi" w:cs="Arial"/>
        </w:rPr>
        <w:t>-Gen</w:t>
      </w:r>
      <w:r w:rsidR="00BB2C36" w:rsidRPr="00A11265">
        <w:rPr>
          <w:rFonts w:asciiTheme="minorHAnsi" w:hAnsiTheme="minorHAnsi" w:cs="Arial"/>
        </w:rPr>
        <w:t xml:space="preserve"> has provided all generation</w:t>
      </w:r>
      <w:r w:rsidR="00B9415F" w:rsidRPr="00A11265">
        <w:rPr>
          <w:rFonts w:asciiTheme="minorHAnsi" w:hAnsiTheme="minorHAnsi" w:cs="Arial"/>
        </w:rPr>
        <w:t xml:space="preserve"> directly or under contract from private</w:t>
      </w:r>
      <w:r w:rsidR="00D241B1" w:rsidRPr="00A11265">
        <w:rPr>
          <w:rFonts w:asciiTheme="minorHAnsi" w:hAnsiTheme="minorHAnsi" w:cs="Arial"/>
        </w:rPr>
        <w:t xml:space="preserve"> providers</w:t>
      </w:r>
      <w:r w:rsidR="00BB2C36" w:rsidRPr="00A11265">
        <w:rPr>
          <w:rFonts w:asciiTheme="minorHAnsi" w:hAnsiTheme="minorHAnsi" w:cs="Arial"/>
        </w:rPr>
        <w:t xml:space="preserve">. However, the Alice Springs and Tennant Creek power systems are subject to open access </w:t>
      </w:r>
      <w:r w:rsidR="000F7015" w:rsidRPr="00A11265">
        <w:rPr>
          <w:rFonts w:asciiTheme="minorHAnsi" w:hAnsiTheme="minorHAnsi" w:cs="Arial"/>
        </w:rPr>
        <w:t>arrangements</w:t>
      </w:r>
      <w:r w:rsidR="00BB2C36" w:rsidRPr="00A11265">
        <w:rPr>
          <w:rFonts w:asciiTheme="minorHAnsi" w:hAnsiTheme="minorHAnsi" w:cs="Arial"/>
        </w:rPr>
        <w:t xml:space="preserve"> and this situation may change</w:t>
      </w:r>
      <w:r w:rsidR="0056208B" w:rsidRPr="00A11265">
        <w:rPr>
          <w:rFonts w:asciiTheme="minorHAnsi" w:hAnsiTheme="minorHAnsi" w:cs="Arial"/>
        </w:rPr>
        <w:t xml:space="preserve"> in the future</w:t>
      </w:r>
      <w:r w:rsidR="00BB2C36" w:rsidRPr="00A11265">
        <w:rPr>
          <w:rFonts w:asciiTheme="minorHAnsi" w:hAnsiTheme="minorHAnsi" w:cs="Arial"/>
        </w:rPr>
        <w:t>. A</w:t>
      </w:r>
      <w:r w:rsidR="00A0722A" w:rsidRPr="00A11265">
        <w:rPr>
          <w:rFonts w:asciiTheme="minorHAnsi" w:hAnsiTheme="minorHAnsi" w:cs="Arial"/>
        </w:rPr>
        <w:t xml:space="preserve">n application by a private </w:t>
      </w:r>
      <w:r w:rsidR="00FB2629">
        <w:rPr>
          <w:rFonts w:asciiTheme="minorHAnsi" w:hAnsiTheme="minorHAnsi" w:cs="Arial"/>
        </w:rPr>
        <w:t>entity</w:t>
      </w:r>
      <w:r w:rsidR="00A0722A" w:rsidRPr="00A11265">
        <w:rPr>
          <w:rFonts w:asciiTheme="minorHAnsi" w:hAnsiTheme="minorHAnsi" w:cs="Arial"/>
        </w:rPr>
        <w:t xml:space="preserve"> to generate</w:t>
      </w:r>
      <w:r w:rsidR="00BE7B33" w:rsidRPr="00A11265">
        <w:rPr>
          <w:rFonts w:asciiTheme="minorHAnsi" w:hAnsiTheme="minorHAnsi" w:cs="Arial"/>
        </w:rPr>
        <w:t xml:space="preserve"> electricity</w:t>
      </w:r>
      <w:r w:rsidR="00A0722A" w:rsidRPr="00A11265">
        <w:rPr>
          <w:rFonts w:asciiTheme="minorHAnsi" w:hAnsiTheme="minorHAnsi" w:cs="Arial"/>
        </w:rPr>
        <w:t xml:space="preserve"> in Alice Springs is currently under consideration by the Utilities Commission</w:t>
      </w:r>
      <w:r w:rsidR="00A0722A" w:rsidRPr="00A11265">
        <w:rPr>
          <w:rStyle w:val="FootnoteReference"/>
          <w:rFonts w:asciiTheme="minorHAnsi" w:hAnsiTheme="minorHAnsi" w:cs="Arial"/>
        </w:rPr>
        <w:footnoteReference w:id="42"/>
      </w:r>
      <w:r w:rsidR="00A0722A" w:rsidRPr="00A11265">
        <w:rPr>
          <w:rFonts w:asciiTheme="minorHAnsi" w:hAnsiTheme="minorHAnsi" w:cs="Arial"/>
        </w:rPr>
        <w:t xml:space="preserve"> and highlights the need to plan for competition </w:t>
      </w:r>
      <w:r w:rsidR="003E3CDF" w:rsidRPr="00A11265">
        <w:rPr>
          <w:rFonts w:asciiTheme="minorHAnsi" w:hAnsiTheme="minorHAnsi" w:cs="Arial"/>
        </w:rPr>
        <w:t>in generation in these systems.</w:t>
      </w:r>
    </w:p>
    <w:p w14:paraId="1FDBE35B" w14:textId="28CC0769" w:rsidR="00964B0F" w:rsidRPr="00A11265" w:rsidRDefault="00964B0F" w:rsidP="00D9724C">
      <w:pPr>
        <w:pStyle w:val="Heading2"/>
        <w:keepNext/>
        <w:rPr>
          <w:lang w:eastAsia="en-AU"/>
        </w:rPr>
      </w:pPr>
      <w:bookmarkStart w:id="187" w:name="_Toc61956205"/>
      <w:r w:rsidRPr="00A11265">
        <w:rPr>
          <w:lang w:eastAsia="en-AU"/>
        </w:rPr>
        <w:t>Stakeholder submissions</w:t>
      </w:r>
      <w:bookmarkEnd w:id="187"/>
    </w:p>
    <w:p w14:paraId="21026279" w14:textId="58AABDAE" w:rsidR="000F7015" w:rsidRPr="00A11265" w:rsidRDefault="00041825" w:rsidP="00E24FEC">
      <w:pPr>
        <w:rPr>
          <w:lang w:eastAsia="en-AU"/>
        </w:rPr>
      </w:pPr>
      <w:r w:rsidRPr="00A11265">
        <w:rPr>
          <w:lang w:eastAsia="en-AU"/>
        </w:rPr>
        <w:t xml:space="preserve">The </w:t>
      </w:r>
      <w:r w:rsidR="000458F9">
        <w:rPr>
          <w:lang w:eastAsia="en-AU"/>
        </w:rPr>
        <w:t>I</w:t>
      </w:r>
      <w:r w:rsidRPr="00A11265">
        <w:rPr>
          <w:lang w:eastAsia="en-AU"/>
        </w:rPr>
        <w:t xml:space="preserve">ssues </w:t>
      </w:r>
      <w:r w:rsidR="000458F9">
        <w:rPr>
          <w:lang w:eastAsia="en-AU"/>
        </w:rPr>
        <w:t>P</w:t>
      </w:r>
      <w:r w:rsidRPr="00A11265">
        <w:rPr>
          <w:lang w:eastAsia="en-AU"/>
        </w:rPr>
        <w:t xml:space="preserve">aper sought stakeholder views on </w:t>
      </w:r>
      <w:r w:rsidR="000F7015" w:rsidRPr="00A11265">
        <w:rPr>
          <w:lang w:eastAsia="en-AU"/>
        </w:rPr>
        <w:t>what method should be used to determine prices for essential system services, processes to ensure administered prices remain up to date and appropriate market power mitigation measures under a competitive provision framework.</w:t>
      </w:r>
    </w:p>
    <w:p w14:paraId="066C289E" w14:textId="71FFC2EB" w:rsidR="00BF66E8" w:rsidRPr="00A11265" w:rsidRDefault="002E795E" w:rsidP="00A23B49">
      <w:pPr>
        <w:pStyle w:val="Heading3"/>
        <w:keepNext/>
        <w:rPr>
          <w:szCs w:val="24"/>
          <w:lang w:eastAsia="en-AU"/>
        </w:rPr>
      </w:pPr>
      <w:r w:rsidRPr="00A11265">
        <w:rPr>
          <w:szCs w:val="24"/>
          <w:lang w:eastAsia="en-AU"/>
        </w:rPr>
        <w:t>Administered pric</w:t>
      </w:r>
      <w:r w:rsidR="00523EFA" w:rsidRPr="00A11265">
        <w:rPr>
          <w:szCs w:val="24"/>
          <w:lang w:eastAsia="en-AU"/>
        </w:rPr>
        <w:t>ing</w:t>
      </w:r>
      <w:r w:rsidR="000F7015" w:rsidRPr="00A11265">
        <w:rPr>
          <w:szCs w:val="24"/>
          <w:lang w:eastAsia="en-AU"/>
        </w:rPr>
        <w:t xml:space="preserve"> essential system services</w:t>
      </w:r>
    </w:p>
    <w:p w14:paraId="1B45567A" w14:textId="77777777" w:rsidR="002E795E" w:rsidRPr="00A11265" w:rsidRDefault="002E795E" w:rsidP="002E795E">
      <w:pPr>
        <w:rPr>
          <w:rFonts w:asciiTheme="minorHAnsi" w:hAnsiTheme="minorHAnsi" w:cs="Arial"/>
        </w:rPr>
      </w:pPr>
      <w:r w:rsidRPr="00A11265">
        <w:rPr>
          <w:rFonts w:asciiTheme="minorHAnsi" w:hAnsiTheme="minorHAnsi" w:cs="Arial"/>
        </w:rPr>
        <w:t>Jacana submitted that, with the move to competitive arrangements, having default supplier arrangements in place (i.e. T-Gen) will ensure that services are delivered efficiently (that is, at a regulated price) if there are limited alternative suppliers of services for a particular service category or in a particular regulated network.</w:t>
      </w:r>
    </w:p>
    <w:p w14:paraId="71AE10AD" w14:textId="0C32A9A3" w:rsidR="00BF66E8" w:rsidRPr="00A11265" w:rsidRDefault="005A3107" w:rsidP="00BF66E8">
      <w:pPr>
        <w:rPr>
          <w:rFonts w:asciiTheme="minorHAnsi" w:hAnsiTheme="minorHAnsi" w:cs="Arial"/>
        </w:rPr>
      </w:pPr>
      <w:r w:rsidRPr="00A11265">
        <w:rPr>
          <w:rFonts w:asciiTheme="minorHAnsi" w:hAnsiTheme="minorHAnsi" w:cs="Arial"/>
        </w:rPr>
        <w:lastRenderedPageBreak/>
        <w:t>Although</w:t>
      </w:r>
      <w:r w:rsidR="00BF66E8" w:rsidRPr="00A11265">
        <w:rPr>
          <w:rFonts w:asciiTheme="minorHAnsi" w:hAnsiTheme="minorHAnsi" w:cs="Arial"/>
        </w:rPr>
        <w:t xml:space="preserve"> Sun Cable recommended replacing the administered pricing arrangements with market mechanisms, it is of the view that the administered pricing arrangements are useful as they provide an estimated upper bound for market outcomes, and could be used either as a market cap or regulatory guide to examine whether market power is being exercised over the long term.</w:t>
      </w:r>
    </w:p>
    <w:p w14:paraId="73AA6428" w14:textId="33812265" w:rsidR="00BF66E8" w:rsidRPr="00A11265" w:rsidRDefault="00BF66E8" w:rsidP="00F51F16">
      <w:pPr>
        <w:rPr>
          <w:rFonts w:asciiTheme="minorHAnsi" w:hAnsiTheme="minorHAnsi" w:cs="Arial"/>
          <w:i/>
        </w:rPr>
      </w:pPr>
      <w:r w:rsidRPr="00A11265">
        <w:rPr>
          <w:rFonts w:asciiTheme="minorHAnsi" w:hAnsiTheme="minorHAnsi" w:cs="Arial"/>
        </w:rPr>
        <w:t>Eni</w:t>
      </w:r>
      <w:r w:rsidR="000F7015" w:rsidRPr="00A11265">
        <w:rPr>
          <w:rFonts w:asciiTheme="minorHAnsi" w:hAnsiTheme="minorHAnsi" w:cs="Arial"/>
        </w:rPr>
        <w:t xml:space="preserve"> Australia</w:t>
      </w:r>
      <w:r w:rsidRPr="00A11265">
        <w:rPr>
          <w:rFonts w:asciiTheme="minorHAnsi" w:hAnsiTheme="minorHAnsi" w:cs="Arial"/>
        </w:rPr>
        <w:t xml:space="preserve"> does not support the current administered pricing arrangement. It is of the view that it is</w:t>
      </w:r>
      <w:r w:rsidR="005A3107" w:rsidRPr="00A11265">
        <w:rPr>
          <w:rFonts w:asciiTheme="minorHAnsi" w:hAnsiTheme="minorHAnsi" w:cs="Arial"/>
          <w:i/>
        </w:rPr>
        <w:t xml:space="preserve"> ‘</w:t>
      </w:r>
      <w:r w:rsidRPr="00A11265">
        <w:rPr>
          <w:rFonts w:asciiTheme="minorHAnsi" w:hAnsiTheme="minorHAnsi" w:cs="Arial"/>
          <w:i/>
        </w:rPr>
        <w:t>… the result of a monopoly that is expensive, inappropriate and a significant deterrent to p</w:t>
      </w:r>
      <w:r w:rsidR="002E795E" w:rsidRPr="00A11265">
        <w:rPr>
          <w:rFonts w:asciiTheme="minorHAnsi" w:hAnsiTheme="minorHAnsi" w:cs="Arial"/>
          <w:i/>
        </w:rPr>
        <w:t>rivate investment in the DKIS</w:t>
      </w:r>
      <w:r w:rsidR="005A3107" w:rsidRPr="00A11265">
        <w:rPr>
          <w:rFonts w:asciiTheme="minorHAnsi" w:hAnsiTheme="minorHAnsi" w:cs="Arial"/>
          <w:i/>
        </w:rPr>
        <w:t>’</w:t>
      </w:r>
      <w:r w:rsidR="001847A1">
        <w:rPr>
          <w:rStyle w:val="FootnoteReference"/>
          <w:rFonts w:asciiTheme="minorHAnsi" w:hAnsiTheme="minorHAnsi" w:cs="Arial"/>
          <w:i/>
        </w:rPr>
        <w:footnoteReference w:id="43"/>
      </w:r>
      <w:r w:rsidR="002E795E" w:rsidRPr="00A11265">
        <w:rPr>
          <w:rFonts w:asciiTheme="minorHAnsi" w:hAnsiTheme="minorHAnsi" w:cs="Arial"/>
          <w:i/>
        </w:rPr>
        <w:t>.</w:t>
      </w:r>
    </w:p>
    <w:p w14:paraId="6AD13D14" w14:textId="6EE44B99" w:rsidR="00BF66E8" w:rsidRPr="00A11265" w:rsidRDefault="000F7015" w:rsidP="00BF66E8">
      <w:pPr>
        <w:rPr>
          <w:rFonts w:asciiTheme="minorHAnsi" w:hAnsiTheme="minorHAnsi" w:cs="Arial"/>
        </w:rPr>
      </w:pPr>
      <w:r w:rsidRPr="00A11265">
        <w:rPr>
          <w:rFonts w:asciiTheme="minorHAnsi" w:hAnsiTheme="minorHAnsi" w:cs="Arial"/>
        </w:rPr>
        <w:t>Eni Australia</w:t>
      </w:r>
      <w:r w:rsidR="00BF66E8" w:rsidRPr="00A11265">
        <w:rPr>
          <w:rFonts w:asciiTheme="minorHAnsi" w:hAnsiTheme="minorHAnsi" w:cs="Arial"/>
        </w:rPr>
        <w:t xml:space="preserve"> also does not support administered prices moving forward. Ra</w:t>
      </w:r>
      <w:r w:rsidRPr="00A11265">
        <w:rPr>
          <w:rFonts w:asciiTheme="minorHAnsi" w:hAnsiTheme="minorHAnsi" w:cs="Arial"/>
        </w:rPr>
        <w:t>ther, it is of the view that essential system services</w:t>
      </w:r>
      <w:r w:rsidR="00BF66E8" w:rsidRPr="00A11265">
        <w:rPr>
          <w:rFonts w:asciiTheme="minorHAnsi" w:hAnsiTheme="minorHAnsi" w:cs="Arial"/>
        </w:rPr>
        <w:t xml:space="preserve"> should be procured on a competitive basis over the long term (for example, ten years) to allow both investor certainty for cost recovery and competitive tension to manage the price, with all services procured at the same time so that synergies in the cost of providing multiple services at once can be realised.</w:t>
      </w:r>
    </w:p>
    <w:p w14:paraId="78210D7E" w14:textId="0D33F430" w:rsidR="00BF66E8" w:rsidRPr="00A11265" w:rsidRDefault="00B62394" w:rsidP="00F51F16">
      <w:pPr>
        <w:pStyle w:val="Heading3"/>
        <w:rPr>
          <w:bCs w:val="0"/>
          <w:szCs w:val="24"/>
          <w:lang w:eastAsia="en-AU"/>
        </w:rPr>
      </w:pPr>
      <w:r w:rsidRPr="00A11265">
        <w:rPr>
          <w:szCs w:val="24"/>
          <w:lang w:eastAsia="en-AU"/>
        </w:rPr>
        <w:t>Administered pricing methods</w:t>
      </w:r>
    </w:p>
    <w:p w14:paraId="270F83E6" w14:textId="4F4670BB" w:rsidR="00BF66E8" w:rsidRPr="00A11265" w:rsidRDefault="00BF66E8" w:rsidP="00BF66E8">
      <w:pPr>
        <w:rPr>
          <w:rFonts w:asciiTheme="minorHAnsi" w:hAnsiTheme="minorHAnsi" w:cs="Arial"/>
        </w:rPr>
      </w:pPr>
      <w:proofErr w:type="spellStart"/>
      <w:r w:rsidRPr="00A11265">
        <w:rPr>
          <w:rFonts w:asciiTheme="minorHAnsi" w:hAnsiTheme="minorHAnsi" w:cs="Arial"/>
        </w:rPr>
        <w:t>Epuron</w:t>
      </w:r>
      <w:proofErr w:type="spellEnd"/>
      <w:r w:rsidRPr="00A11265">
        <w:rPr>
          <w:rFonts w:asciiTheme="minorHAnsi" w:hAnsiTheme="minorHAnsi" w:cs="Arial"/>
        </w:rPr>
        <w:t xml:space="preserve"> submitted that a base (administered) price could be developed which represents the cost to install a new generator to provide more </w:t>
      </w:r>
      <w:r w:rsidR="002B2A04" w:rsidRPr="00A11265">
        <w:rPr>
          <w:rFonts w:asciiTheme="minorHAnsi" w:hAnsiTheme="minorHAnsi" w:cs="Arial"/>
        </w:rPr>
        <w:t>essential system services</w:t>
      </w:r>
      <w:r w:rsidRPr="00A11265">
        <w:rPr>
          <w:rFonts w:asciiTheme="minorHAnsi" w:hAnsiTheme="minorHAnsi" w:cs="Arial"/>
        </w:rPr>
        <w:t xml:space="preserve"> than required in each market. In effect, this is the long</w:t>
      </w:r>
      <w:r w:rsidR="002B2A04" w:rsidRPr="00A11265">
        <w:rPr>
          <w:rFonts w:asciiTheme="minorHAnsi" w:hAnsiTheme="minorHAnsi" w:cs="Arial"/>
        </w:rPr>
        <w:noBreakHyphen/>
      </w:r>
      <w:r w:rsidRPr="00A11265">
        <w:rPr>
          <w:rFonts w:asciiTheme="minorHAnsi" w:hAnsiTheme="minorHAnsi" w:cs="Arial"/>
        </w:rPr>
        <w:t>run marginal cost</w:t>
      </w:r>
      <w:r w:rsidR="00A769B4">
        <w:rPr>
          <w:rFonts w:asciiTheme="minorHAnsi" w:hAnsiTheme="minorHAnsi" w:cs="Arial"/>
        </w:rPr>
        <w:t xml:space="preserve"> (LRMC)</w:t>
      </w:r>
      <w:r w:rsidRPr="00A11265">
        <w:rPr>
          <w:rFonts w:asciiTheme="minorHAnsi" w:hAnsiTheme="minorHAnsi" w:cs="Arial"/>
        </w:rPr>
        <w:t xml:space="preserve"> to provide additional </w:t>
      </w:r>
      <w:r w:rsidR="002B2A04" w:rsidRPr="00A11265">
        <w:rPr>
          <w:rFonts w:asciiTheme="minorHAnsi" w:hAnsiTheme="minorHAnsi" w:cs="Arial"/>
        </w:rPr>
        <w:t>essential system services</w:t>
      </w:r>
      <w:r w:rsidRPr="00A11265">
        <w:rPr>
          <w:rFonts w:asciiTheme="minorHAnsi" w:hAnsiTheme="minorHAnsi" w:cs="Arial"/>
        </w:rPr>
        <w:t>. Sun Cable similarly recommended that the administered price be calculated based on the hypothetical marginal unit of supply to the system, while noting that it is of the view that this should only be used as a market cap or regulatory guide.</w:t>
      </w:r>
    </w:p>
    <w:p w14:paraId="1943E267" w14:textId="77777777" w:rsidR="00BF66E8" w:rsidRPr="00A11265" w:rsidRDefault="00BF66E8" w:rsidP="00BF66E8">
      <w:pPr>
        <w:rPr>
          <w:rFonts w:asciiTheme="minorHAnsi" w:hAnsiTheme="minorHAnsi" w:cs="Arial"/>
        </w:rPr>
      </w:pPr>
      <w:r w:rsidRPr="00A11265">
        <w:rPr>
          <w:rFonts w:asciiTheme="minorHAnsi" w:hAnsiTheme="minorHAnsi" w:cs="Arial"/>
        </w:rPr>
        <w:t>T-Gen submitted that the methodology for determining prices should be as follows:</w:t>
      </w:r>
    </w:p>
    <w:p w14:paraId="5C5146B5" w14:textId="53BEDDBF" w:rsidR="00BF66E8" w:rsidRPr="00A11265" w:rsidRDefault="00BF66E8" w:rsidP="001F613E">
      <w:pPr>
        <w:pStyle w:val="ListParagraph"/>
        <w:numPr>
          <w:ilvl w:val="0"/>
          <w:numId w:val="11"/>
        </w:numPr>
        <w:spacing w:before="200"/>
        <w:ind w:left="426"/>
        <w:rPr>
          <w:rFonts w:asciiTheme="minorHAnsi" w:hAnsiTheme="minorHAnsi" w:cs="Arial"/>
          <w:i/>
        </w:rPr>
      </w:pPr>
      <w:r w:rsidRPr="00A11265">
        <w:rPr>
          <w:rFonts w:asciiTheme="minorHAnsi" w:hAnsiTheme="minorHAnsi" w:cs="Arial"/>
          <w:i/>
        </w:rPr>
        <w:t>cost reflective</w:t>
      </w:r>
    </w:p>
    <w:p w14:paraId="35127DEC" w14:textId="04CF518D" w:rsidR="00BF66E8" w:rsidRPr="00A11265" w:rsidRDefault="00BF66E8" w:rsidP="001F613E">
      <w:pPr>
        <w:pStyle w:val="ListParagraph"/>
        <w:numPr>
          <w:ilvl w:val="0"/>
          <w:numId w:val="11"/>
        </w:numPr>
        <w:spacing w:before="200"/>
        <w:ind w:left="426"/>
        <w:rPr>
          <w:rFonts w:asciiTheme="minorHAnsi" w:hAnsiTheme="minorHAnsi" w:cs="Arial"/>
          <w:i/>
        </w:rPr>
      </w:pPr>
      <w:r w:rsidRPr="00A11265">
        <w:rPr>
          <w:rFonts w:asciiTheme="minorHAnsi" w:hAnsiTheme="minorHAnsi" w:cs="Arial"/>
          <w:i/>
        </w:rPr>
        <w:t>capacity charge to support installed capacity maintenance</w:t>
      </w:r>
    </w:p>
    <w:p w14:paraId="21759D5B" w14:textId="0525246D" w:rsidR="00BF66E8" w:rsidRPr="00A11265" w:rsidRDefault="00BF66E8" w:rsidP="001F613E">
      <w:pPr>
        <w:pStyle w:val="ListParagraph"/>
        <w:numPr>
          <w:ilvl w:val="0"/>
          <w:numId w:val="11"/>
        </w:numPr>
        <w:spacing w:before="200"/>
        <w:ind w:left="426"/>
        <w:rPr>
          <w:rFonts w:asciiTheme="minorHAnsi" w:hAnsiTheme="minorHAnsi" w:cs="Arial"/>
        </w:rPr>
      </w:pPr>
      <w:r w:rsidRPr="00A11265">
        <w:rPr>
          <w:rFonts w:asciiTheme="minorHAnsi" w:hAnsiTheme="minorHAnsi" w:cs="Arial"/>
          <w:i/>
        </w:rPr>
        <w:t>ESS dispatched before energy needs as ESS underpin the power system.</w:t>
      </w:r>
      <w:r w:rsidR="001847A1">
        <w:rPr>
          <w:rStyle w:val="FootnoteReference"/>
          <w:rFonts w:asciiTheme="minorHAnsi" w:hAnsiTheme="minorHAnsi" w:cs="Arial"/>
          <w:i/>
        </w:rPr>
        <w:footnoteReference w:id="44"/>
      </w:r>
    </w:p>
    <w:p w14:paraId="38225EA3" w14:textId="5827D7CD" w:rsidR="00BF66E8" w:rsidRPr="00A11265" w:rsidRDefault="00BF66E8" w:rsidP="00A23B49">
      <w:pPr>
        <w:pStyle w:val="Heading3"/>
        <w:keepNext/>
        <w:rPr>
          <w:bCs w:val="0"/>
          <w:szCs w:val="24"/>
          <w:lang w:eastAsia="en-AU"/>
        </w:rPr>
      </w:pPr>
      <w:r w:rsidRPr="00A11265">
        <w:rPr>
          <w:szCs w:val="24"/>
          <w:lang w:eastAsia="en-AU"/>
        </w:rPr>
        <w:t>Processes to ensure administered prices remain up to date</w:t>
      </w:r>
    </w:p>
    <w:p w14:paraId="19955DFF" w14:textId="17813124" w:rsidR="00BF66E8" w:rsidRPr="00A11265" w:rsidRDefault="00BF66E8" w:rsidP="00BF66E8">
      <w:pPr>
        <w:rPr>
          <w:rFonts w:asciiTheme="minorHAnsi" w:hAnsiTheme="minorHAnsi" w:cs="Arial"/>
        </w:rPr>
      </w:pPr>
      <w:proofErr w:type="spellStart"/>
      <w:r w:rsidRPr="00A11265">
        <w:rPr>
          <w:rFonts w:asciiTheme="minorHAnsi" w:hAnsiTheme="minorHAnsi" w:cs="Arial"/>
        </w:rPr>
        <w:t>Epuron</w:t>
      </w:r>
      <w:proofErr w:type="spellEnd"/>
      <w:r w:rsidRPr="00A11265">
        <w:rPr>
          <w:rFonts w:asciiTheme="minorHAnsi" w:hAnsiTheme="minorHAnsi" w:cs="Arial"/>
        </w:rPr>
        <w:t xml:space="preserve"> submitted that the base (administered) price could be updated at set time periods (for example, annually). T-Gen also suggested that the administered prices be reviewed annually, with the administered prices auditable by the Utilities Commission.</w:t>
      </w:r>
    </w:p>
    <w:p w14:paraId="1243BDC1" w14:textId="13EC7333" w:rsidR="00BF66E8" w:rsidRPr="00A11265" w:rsidRDefault="00BF66E8" w:rsidP="00BF66E8">
      <w:pPr>
        <w:rPr>
          <w:rFonts w:asciiTheme="minorHAnsi" w:hAnsiTheme="minorHAnsi" w:cs="Arial"/>
        </w:rPr>
      </w:pPr>
      <w:r w:rsidRPr="00A11265">
        <w:rPr>
          <w:rFonts w:asciiTheme="minorHAnsi" w:hAnsiTheme="minorHAnsi" w:cs="Arial"/>
        </w:rPr>
        <w:t xml:space="preserve">Sun Cable </w:t>
      </w:r>
      <w:r w:rsidR="002B2A04" w:rsidRPr="00A11265">
        <w:rPr>
          <w:rFonts w:asciiTheme="minorHAnsi" w:hAnsiTheme="minorHAnsi" w:cs="Arial"/>
        </w:rPr>
        <w:t>suggested</w:t>
      </w:r>
      <w:r w:rsidRPr="00A11265">
        <w:rPr>
          <w:rFonts w:asciiTheme="minorHAnsi" w:hAnsiTheme="minorHAnsi" w:cs="Arial"/>
        </w:rPr>
        <w:t xml:space="preserve"> that, under constrained competition, prices be determined using an open tender or bilateral negotiation process. Sun Cable’s preferred tender process is a reverse auction. It noted that:</w:t>
      </w:r>
    </w:p>
    <w:p w14:paraId="79236A67" w14:textId="41F3DB26" w:rsidR="00BF66E8" w:rsidRPr="00A11265" w:rsidRDefault="00BF66E8" w:rsidP="00D9724C">
      <w:pPr>
        <w:ind w:left="567" w:right="567"/>
        <w:rPr>
          <w:rFonts w:asciiTheme="minorHAnsi" w:hAnsiTheme="minorHAnsi" w:cs="Arial"/>
          <w:i/>
        </w:rPr>
      </w:pPr>
      <w:r w:rsidRPr="00A11265">
        <w:rPr>
          <w:rFonts w:asciiTheme="minorHAnsi" w:hAnsiTheme="minorHAnsi" w:cs="Arial"/>
          <w:i/>
        </w:rPr>
        <w:t>In oligopolistic competition scenarios, a first-price auction is preferred, but it should be noted that such mechanisms are not strictly incentive compatible and may lead to a considerable amount of ‘shadowing’ of more expensive bids. There may be other mechanisms, such as second-price auctions, that may lead to more efficient outcomes if the market has enough bidders to p</w:t>
      </w:r>
      <w:r w:rsidR="00E70C92" w:rsidRPr="00A11265">
        <w:rPr>
          <w:rFonts w:asciiTheme="minorHAnsi" w:hAnsiTheme="minorHAnsi" w:cs="Arial"/>
          <w:i/>
        </w:rPr>
        <w:t xml:space="preserve">roduce competitive conditions. </w:t>
      </w:r>
      <w:r w:rsidR="001847A1">
        <w:rPr>
          <w:rStyle w:val="FootnoteReference"/>
          <w:rFonts w:asciiTheme="minorHAnsi" w:hAnsiTheme="minorHAnsi" w:cs="Arial"/>
          <w:i/>
        </w:rPr>
        <w:footnoteReference w:id="45"/>
      </w:r>
    </w:p>
    <w:p w14:paraId="6B0D4956" w14:textId="53645C17" w:rsidR="00BF66E8" w:rsidRPr="00A11265" w:rsidRDefault="00BF66E8" w:rsidP="00D9724C">
      <w:pPr>
        <w:pStyle w:val="Heading3"/>
        <w:rPr>
          <w:szCs w:val="24"/>
          <w:lang w:eastAsia="en-AU"/>
        </w:rPr>
      </w:pPr>
      <w:r w:rsidRPr="00A11265">
        <w:rPr>
          <w:szCs w:val="24"/>
          <w:lang w:eastAsia="en-AU"/>
        </w:rPr>
        <w:t>Appropriate market power mitigation measures</w:t>
      </w:r>
    </w:p>
    <w:p w14:paraId="17A4597F" w14:textId="1EFBBE33" w:rsidR="00BF66E8" w:rsidRPr="00A11265" w:rsidRDefault="00BF66E8" w:rsidP="00BF66E8">
      <w:pPr>
        <w:rPr>
          <w:rFonts w:asciiTheme="minorHAnsi" w:hAnsiTheme="minorHAnsi" w:cs="Arial"/>
        </w:rPr>
      </w:pPr>
      <w:r w:rsidRPr="00A11265">
        <w:rPr>
          <w:rFonts w:asciiTheme="minorHAnsi" w:hAnsiTheme="minorHAnsi" w:cs="Arial"/>
        </w:rPr>
        <w:t>As Eni</w:t>
      </w:r>
      <w:r w:rsidR="00DA44B5">
        <w:rPr>
          <w:rFonts w:asciiTheme="minorHAnsi" w:hAnsiTheme="minorHAnsi" w:cs="Arial"/>
        </w:rPr>
        <w:t xml:space="preserve"> Australia</w:t>
      </w:r>
      <w:r w:rsidRPr="00A11265">
        <w:rPr>
          <w:rFonts w:asciiTheme="minorHAnsi" w:hAnsiTheme="minorHAnsi" w:cs="Arial"/>
        </w:rPr>
        <w:t xml:space="preserve"> is of the view that T-Gen should not be the default provider of </w:t>
      </w:r>
      <w:r w:rsidR="002B2A04" w:rsidRPr="00A11265">
        <w:rPr>
          <w:rFonts w:asciiTheme="minorHAnsi" w:hAnsiTheme="minorHAnsi" w:cs="Arial"/>
        </w:rPr>
        <w:t>essential system services</w:t>
      </w:r>
      <w:r w:rsidRPr="00A11265">
        <w:rPr>
          <w:rFonts w:asciiTheme="minorHAnsi" w:hAnsiTheme="minorHAnsi" w:cs="Arial"/>
        </w:rPr>
        <w:t xml:space="preserve">, it considered that there is no need for market power to be mitigated as T-Gen would not possess significant </w:t>
      </w:r>
      <w:r w:rsidRPr="00A11265">
        <w:rPr>
          <w:rFonts w:asciiTheme="minorHAnsi" w:hAnsiTheme="minorHAnsi" w:cs="Arial"/>
        </w:rPr>
        <w:lastRenderedPageBreak/>
        <w:t>market power. Similarly, Sun Cable is of the view that many of the more serious potential opportunities for the exercise of market power will be removed by avoiding the procurement of services through a real-time spot market with limited competition.</w:t>
      </w:r>
    </w:p>
    <w:p w14:paraId="170A1303" w14:textId="3B9D3329" w:rsidR="00BF66E8" w:rsidRPr="00A11265" w:rsidRDefault="00BF66E8" w:rsidP="00BF66E8">
      <w:pPr>
        <w:rPr>
          <w:rFonts w:asciiTheme="minorHAnsi" w:hAnsiTheme="minorHAnsi" w:cs="Arial"/>
        </w:rPr>
      </w:pPr>
      <w:r w:rsidRPr="00A11265">
        <w:rPr>
          <w:rFonts w:asciiTheme="minorHAnsi" w:hAnsiTheme="minorHAnsi" w:cs="Arial"/>
        </w:rPr>
        <w:t>However, Sun Cable noted that market power could still be exercised in bilateral negotiations or under various tender processes. It submitted that regulators could utilise an administered price cap or price monitoring to ensure that prices are not pushed above expected levels in the long</w:t>
      </w:r>
      <w:r w:rsidR="004C3270" w:rsidRPr="00A11265">
        <w:rPr>
          <w:rFonts w:asciiTheme="minorHAnsi" w:hAnsiTheme="minorHAnsi" w:cs="Arial"/>
        </w:rPr>
        <w:t xml:space="preserve"> </w:t>
      </w:r>
      <w:r w:rsidRPr="00A11265">
        <w:rPr>
          <w:rFonts w:asciiTheme="minorHAnsi" w:hAnsiTheme="minorHAnsi" w:cs="Arial"/>
        </w:rPr>
        <w:t>term. Reduction of market power could be achieved in a reverse auction or tender process through careful application mechanism design principles and in bilateral over-the-counter contracting with rules around open sharing of prices with regulators or anonymous mechanisms.</w:t>
      </w:r>
    </w:p>
    <w:p w14:paraId="78882491" w14:textId="77777777" w:rsidR="00BF66E8" w:rsidRPr="00A11265" w:rsidRDefault="00BF66E8" w:rsidP="00BF66E8">
      <w:pPr>
        <w:rPr>
          <w:rFonts w:asciiTheme="minorHAnsi" w:hAnsiTheme="minorHAnsi" w:cs="Arial"/>
        </w:rPr>
      </w:pPr>
      <w:proofErr w:type="spellStart"/>
      <w:r w:rsidRPr="00A11265">
        <w:rPr>
          <w:rFonts w:asciiTheme="minorHAnsi" w:hAnsiTheme="minorHAnsi" w:cs="Arial"/>
        </w:rPr>
        <w:t>Epuron</w:t>
      </w:r>
      <w:proofErr w:type="spellEnd"/>
      <w:r w:rsidRPr="00A11265">
        <w:rPr>
          <w:rFonts w:asciiTheme="minorHAnsi" w:hAnsiTheme="minorHAnsi" w:cs="Arial"/>
        </w:rPr>
        <w:t xml:space="preserve"> suggested the following market power mitigation measures:</w:t>
      </w:r>
    </w:p>
    <w:p w14:paraId="19EFBDA6" w14:textId="5C2BA919" w:rsidR="00BF66E8" w:rsidRPr="00A11265" w:rsidRDefault="00BF66E8" w:rsidP="001F613E">
      <w:pPr>
        <w:pStyle w:val="ListParagraph"/>
        <w:numPr>
          <w:ilvl w:val="0"/>
          <w:numId w:val="11"/>
        </w:numPr>
        <w:spacing w:before="200"/>
        <w:ind w:left="924" w:right="567" w:hanging="357"/>
        <w:rPr>
          <w:rFonts w:cs="Arial"/>
          <w:i/>
        </w:rPr>
      </w:pPr>
      <w:r w:rsidRPr="00A11265">
        <w:rPr>
          <w:rFonts w:cs="Arial"/>
          <w:i/>
        </w:rPr>
        <w:t>administered minimum and maximum prices for the provision of ESS,</w:t>
      </w:r>
    </w:p>
    <w:p w14:paraId="1D4B3D3C" w14:textId="202AEE32" w:rsidR="00BF66E8" w:rsidRPr="00A11265" w:rsidRDefault="00BF66E8" w:rsidP="001F613E">
      <w:pPr>
        <w:pStyle w:val="ListParagraph"/>
        <w:numPr>
          <w:ilvl w:val="0"/>
          <w:numId w:val="11"/>
        </w:numPr>
        <w:spacing w:before="200"/>
        <w:ind w:left="924" w:right="567" w:hanging="357"/>
        <w:rPr>
          <w:rFonts w:cs="Arial"/>
          <w:i/>
        </w:rPr>
      </w:pPr>
      <w:r w:rsidRPr="00A11265">
        <w:rPr>
          <w:rFonts w:cs="Arial"/>
          <w:i/>
        </w:rPr>
        <w:t>constraints on offer prices in any market mechanism,</w:t>
      </w:r>
    </w:p>
    <w:p w14:paraId="6A78D58D" w14:textId="6FBD25F1" w:rsidR="00BF66E8" w:rsidRPr="00A11265" w:rsidRDefault="00BF66E8" w:rsidP="001F613E">
      <w:pPr>
        <w:pStyle w:val="ListParagraph"/>
        <w:numPr>
          <w:ilvl w:val="0"/>
          <w:numId w:val="11"/>
        </w:numPr>
        <w:spacing w:before="200"/>
        <w:ind w:left="924" w:right="567" w:hanging="357"/>
        <w:rPr>
          <w:rFonts w:cs="Arial"/>
          <w:i/>
        </w:rPr>
      </w:pPr>
      <w:r w:rsidRPr="00A11265">
        <w:rPr>
          <w:rFonts w:cs="Arial"/>
          <w:i/>
        </w:rPr>
        <w:t>an obligation to supply required volumes of ESS, such as a default provider arrangement in the absence of other providers,</w:t>
      </w:r>
    </w:p>
    <w:p w14:paraId="38A56940" w14:textId="5BCA07FD" w:rsidR="00BF66E8" w:rsidRPr="00A11265" w:rsidRDefault="00BF66E8" w:rsidP="001F613E">
      <w:pPr>
        <w:pStyle w:val="ListParagraph"/>
        <w:numPr>
          <w:ilvl w:val="0"/>
          <w:numId w:val="11"/>
        </w:numPr>
        <w:spacing w:before="200"/>
        <w:ind w:left="924" w:right="567" w:hanging="357"/>
        <w:rPr>
          <w:rFonts w:cs="Arial"/>
          <w:i/>
        </w:rPr>
      </w:pPr>
      <w:proofErr w:type="gramStart"/>
      <w:r w:rsidRPr="00A11265">
        <w:rPr>
          <w:rFonts w:cs="Arial"/>
          <w:i/>
        </w:rPr>
        <w:t>a</w:t>
      </w:r>
      <w:proofErr w:type="gramEnd"/>
      <w:r w:rsidRPr="00A11265">
        <w:rPr>
          <w:rFonts w:cs="Arial"/>
          <w:i/>
        </w:rPr>
        <w:t xml:space="preserve"> capacity limit to ensure extra ESS capacity is not built beyond a margin above sufficient capacity. For example no payment for new capacity if existing capacity already exceeds 130% of required capacity.</w:t>
      </w:r>
      <w:r w:rsidR="00E70C92" w:rsidRPr="00A11265">
        <w:rPr>
          <w:rFonts w:cs="Arial"/>
          <w:i/>
        </w:rPr>
        <w:t xml:space="preserve"> </w:t>
      </w:r>
      <w:r w:rsidR="001847A1">
        <w:rPr>
          <w:rStyle w:val="FootnoteReference"/>
          <w:rFonts w:cs="Arial"/>
          <w:i/>
        </w:rPr>
        <w:footnoteReference w:id="46"/>
      </w:r>
    </w:p>
    <w:p w14:paraId="3CC38CB9" w14:textId="0966940E" w:rsidR="00BF66E8" w:rsidRPr="00A11265" w:rsidRDefault="00BF66E8" w:rsidP="00BF66E8">
      <w:pPr>
        <w:rPr>
          <w:rFonts w:asciiTheme="minorHAnsi" w:hAnsiTheme="minorHAnsi" w:cs="Arial"/>
        </w:rPr>
      </w:pPr>
      <w:r w:rsidRPr="00A11265">
        <w:rPr>
          <w:rFonts w:asciiTheme="minorHAnsi" w:hAnsiTheme="minorHAnsi" w:cs="Arial"/>
        </w:rPr>
        <w:t>T-Gen questioned how an efficient ma</w:t>
      </w:r>
      <w:r w:rsidR="00E70C92" w:rsidRPr="00A11265">
        <w:rPr>
          <w:rFonts w:asciiTheme="minorHAnsi" w:hAnsiTheme="minorHAnsi" w:cs="Arial"/>
        </w:rPr>
        <w:t>rket can be established if it</w:t>
      </w:r>
      <w:r w:rsidRPr="00A11265">
        <w:rPr>
          <w:rFonts w:asciiTheme="minorHAnsi" w:hAnsiTheme="minorHAnsi" w:cs="Arial"/>
        </w:rPr>
        <w:t xml:space="preserve"> is the generator of</w:t>
      </w:r>
      <w:r w:rsidR="00E70C92" w:rsidRPr="00A11265">
        <w:rPr>
          <w:rFonts w:asciiTheme="minorHAnsi" w:hAnsiTheme="minorHAnsi" w:cs="Arial"/>
        </w:rPr>
        <w:t xml:space="preserve"> last resort and provider of essential system services</w:t>
      </w:r>
      <w:r w:rsidRPr="00A11265">
        <w:rPr>
          <w:rFonts w:asciiTheme="minorHAnsi" w:hAnsiTheme="minorHAnsi" w:cs="Arial"/>
        </w:rPr>
        <w:t>, and noted that a point of competition occurs with the negotiation of Wholesale Energy Supply Agreements between generators and retailers. It suggested the following market power mitigation measures</w:t>
      </w:r>
      <w:r w:rsidR="003F6DAB" w:rsidRPr="00A11265">
        <w:rPr>
          <w:rFonts w:asciiTheme="minorHAnsi" w:hAnsiTheme="minorHAnsi" w:cs="Arial"/>
        </w:rPr>
        <w:t xml:space="preserve"> </w:t>
      </w:r>
      <w:r w:rsidR="00074521" w:rsidRPr="00A11265">
        <w:rPr>
          <w:rFonts w:asciiTheme="minorHAnsi" w:hAnsiTheme="minorHAnsi" w:cs="Arial"/>
        </w:rPr>
        <w:t>include</w:t>
      </w:r>
      <w:r w:rsidRPr="00A11265">
        <w:rPr>
          <w:rFonts w:asciiTheme="minorHAnsi" w:hAnsiTheme="minorHAnsi" w:cs="Arial"/>
        </w:rPr>
        <w:t>:</w:t>
      </w:r>
    </w:p>
    <w:p w14:paraId="34FA7232" w14:textId="770006A2" w:rsidR="00BF66E8" w:rsidRPr="00A11265" w:rsidRDefault="00BF66E8" w:rsidP="001F613E">
      <w:pPr>
        <w:pStyle w:val="ListParagraph"/>
        <w:numPr>
          <w:ilvl w:val="0"/>
          <w:numId w:val="11"/>
        </w:numPr>
        <w:spacing w:before="200"/>
        <w:ind w:left="426"/>
        <w:rPr>
          <w:rFonts w:cs="Arial"/>
          <w:i/>
        </w:rPr>
      </w:pPr>
      <w:r w:rsidRPr="00A11265">
        <w:rPr>
          <w:rFonts w:cs="Arial"/>
          <w:i/>
        </w:rPr>
        <w:t>review by the Utilities Commission</w:t>
      </w:r>
    </w:p>
    <w:p w14:paraId="06FBAB9A" w14:textId="3BF09CE1" w:rsidR="00BF66E8" w:rsidRPr="00A11265" w:rsidRDefault="00BF66E8" w:rsidP="001F613E">
      <w:pPr>
        <w:pStyle w:val="ListParagraph"/>
        <w:numPr>
          <w:ilvl w:val="0"/>
          <w:numId w:val="11"/>
        </w:numPr>
        <w:spacing w:before="200"/>
        <w:ind w:left="426"/>
        <w:rPr>
          <w:rFonts w:cs="Arial"/>
          <w:i/>
        </w:rPr>
      </w:pPr>
      <w:r w:rsidRPr="00A11265">
        <w:rPr>
          <w:rFonts w:cs="Arial"/>
          <w:i/>
        </w:rPr>
        <w:t>quasi-regulated costing</w:t>
      </w:r>
    </w:p>
    <w:p w14:paraId="214CCCA1" w14:textId="5FE4D922" w:rsidR="00BF66E8" w:rsidRPr="00A11265" w:rsidRDefault="00BF66E8" w:rsidP="001F613E">
      <w:pPr>
        <w:pStyle w:val="ListParagraph"/>
        <w:numPr>
          <w:ilvl w:val="0"/>
          <w:numId w:val="11"/>
        </w:numPr>
        <w:spacing w:before="200"/>
        <w:ind w:left="426"/>
        <w:rPr>
          <w:rFonts w:cs="Arial"/>
        </w:rPr>
      </w:pPr>
      <w:r w:rsidRPr="00A11265">
        <w:rPr>
          <w:rFonts w:cs="Arial"/>
          <w:i/>
        </w:rPr>
        <w:t>minimisation of additional market compliance costs</w:t>
      </w:r>
      <w:r w:rsidR="004C3270" w:rsidRPr="00A11265">
        <w:rPr>
          <w:rFonts w:cs="Arial"/>
          <w:i/>
        </w:rPr>
        <w:t xml:space="preserve"> ..</w:t>
      </w:r>
      <w:r w:rsidRPr="00A11265">
        <w:rPr>
          <w:rFonts w:cs="Arial"/>
          <w:i/>
        </w:rPr>
        <w:t>.</w:t>
      </w:r>
      <w:r w:rsidR="004C3270" w:rsidRPr="00A11265">
        <w:rPr>
          <w:rFonts w:cs="Arial"/>
        </w:rPr>
        <w:t xml:space="preserve"> </w:t>
      </w:r>
      <w:r w:rsidR="001847A1">
        <w:rPr>
          <w:rStyle w:val="FootnoteReference"/>
          <w:rFonts w:cs="Arial"/>
        </w:rPr>
        <w:footnoteReference w:id="47"/>
      </w:r>
    </w:p>
    <w:p w14:paraId="4E1C58AC" w14:textId="49CE9590" w:rsidR="00964B0F" w:rsidRPr="00A11265" w:rsidRDefault="00964B0F" w:rsidP="00D9724C">
      <w:pPr>
        <w:pStyle w:val="Heading2"/>
        <w:keepNext/>
        <w:rPr>
          <w:lang w:eastAsia="en-AU"/>
        </w:rPr>
      </w:pPr>
      <w:bookmarkStart w:id="188" w:name="_Toc61852403"/>
      <w:bookmarkStart w:id="189" w:name="_Toc61956206"/>
      <w:bookmarkEnd w:id="188"/>
      <w:r w:rsidRPr="00A11265">
        <w:rPr>
          <w:lang w:eastAsia="en-AU"/>
        </w:rPr>
        <w:t>Analysis</w:t>
      </w:r>
      <w:bookmarkEnd w:id="189"/>
    </w:p>
    <w:p w14:paraId="776CDA80" w14:textId="6556FD5E" w:rsidR="00CA5D2D" w:rsidRPr="00A11265" w:rsidRDefault="00F07F03" w:rsidP="00CA5D2D">
      <w:pPr>
        <w:rPr>
          <w:rFonts w:asciiTheme="minorHAnsi" w:hAnsiTheme="minorHAnsi" w:cs="Arial"/>
        </w:rPr>
      </w:pPr>
      <w:r w:rsidRPr="00A11265">
        <w:rPr>
          <w:rFonts w:asciiTheme="minorHAnsi" w:hAnsiTheme="minorHAnsi" w:cs="Arial"/>
        </w:rPr>
        <w:t xml:space="preserve">In section </w:t>
      </w:r>
      <w:r w:rsidR="001913B5">
        <w:rPr>
          <w:rFonts w:asciiTheme="minorHAnsi" w:hAnsiTheme="minorHAnsi" w:cs="Arial"/>
        </w:rPr>
        <w:t>4</w:t>
      </w:r>
      <w:r w:rsidR="000A4C5A" w:rsidRPr="00A11265">
        <w:rPr>
          <w:rFonts w:asciiTheme="minorHAnsi" w:hAnsiTheme="minorHAnsi" w:cs="Arial"/>
        </w:rPr>
        <w:t>, the De</w:t>
      </w:r>
      <w:r w:rsidR="00CA5D2D" w:rsidRPr="00A11265">
        <w:rPr>
          <w:rFonts w:asciiTheme="minorHAnsi" w:hAnsiTheme="minorHAnsi" w:cs="Arial"/>
        </w:rPr>
        <w:t>s</w:t>
      </w:r>
      <w:r w:rsidR="000A4C5A" w:rsidRPr="00A11265">
        <w:rPr>
          <w:rFonts w:asciiTheme="minorHAnsi" w:hAnsiTheme="minorHAnsi" w:cs="Arial"/>
        </w:rPr>
        <w:t>i</w:t>
      </w:r>
      <w:r w:rsidR="00CA5D2D" w:rsidRPr="00A11265">
        <w:rPr>
          <w:rFonts w:asciiTheme="minorHAnsi" w:hAnsiTheme="minorHAnsi" w:cs="Arial"/>
        </w:rPr>
        <w:t xml:space="preserve">gn Development Team has proposed that </w:t>
      </w:r>
      <w:r w:rsidR="00167617" w:rsidRPr="00A11265">
        <w:rPr>
          <w:rFonts w:asciiTheme="minorHAnsi" w:hAnsiTheme="minorHAnsi" w:cs="Arial"/>
        </w:rPr>
        <w:t>the</w:t>
      </w:r>
      <w:r w:rsidR="00CA5D2D" w:rsidRPr="00A11265">
        <w:rPr>
          <w:rFonts w:asciiTheme="minorHAnsi" w:hAnsiTheme="minorHAnsi" w:cs="Arial"/>
        </w:rPr>
        <w:t xml:space="preserve"> provision of essential system services</w:t>
      </w:r>
      <w:r w:rsidR="00167617" w:rsidRPr="00A11265">
        <w:rPr>
          <w:rFonts w:asciiTheme="minorHAnsi" w:hAnsiTheme="minorHAnsi" w:cs="Arial"/>
        </w:rPr>
        <w:t xml:space="preserve"> </w:t>
      </w:r>
      <w:r w:rsidR="00CA5D2D" w:rsidRPr="00A11265">
        <w:rPr>
          <w:rFonts w:asciiTheme="minorHAnsi" w:hAnsiTheme="minorHAnsi" w:cs="Arial"/>
        </w:rPr>
        <w:t xml:space="preserve">in each of </w:t>
      </w:r>
      <w:r w:rsidR="00167617" w:rsidRPr="00A11265">
        <w:rPr>
          <w:rFonts w:asciiTheme="minorHAnsi" w:hAnsiTheme="minorHAnsi" w:cs="Arial"/>
        </w:rPr>
        <w:t>the NT</w:t>
      </w:r>
      <w:r w:rsidR="00CA5D2D" w:rsidRPr="00A11265">
        <w:rPr>
          <w:rFonts w:asciiTheme="minorHAnsi" w:hAnsiTheme="minorHAnsi" w:cs="Arial"/>
        </w:rPr>
        <w:t xml:space="preserve"> regulated systems</w:t>
      </w:r>
      <w:r w:rsidR="00167617" w:rsidRPr="00A11265">
        <w:rPr>
          <w:rFonts w:asciiTheme="minorHAnsi" w:hAnsiTheme="minorHAnsi" w:cs="Arial"/>
        </w:rPr>
        <w:t xml:space="preserve"> be opened to competition</w:t>
      </w:r>
      <w:r w:rsidR="00CA5D2D" w:rsidRPr="00A11265">
        <w:rPr>
          <w:rFonts w:asciiTheme="minorHAnsi" w:hAnsiTheme="minorHAnsi" w:cs="Arial"/>
        </w:rPr>
        <w:t xml:space="preserve">. As the NT’s generation mix changes as it moves towards meeting the 50 per cent renewables target by 2030, there will be more </w:t>
      </w:r>
      <w:r w:rsidR="00167617" w:rsidRPr="00A11265">
        <w:rPr>
          <w:rFonts w:asciiTheme="minorHAnsi" w:hAnsiTheme="minorHAnsi" w:cs="Arial"/>
        </w:rPr>
        <w:t xml:space="preserve">prospective </w:t>
      </w:r>
      <w:r w:rsidR="00CA5D2D" w:rsidRPr="00A11265">
        <w:rPr>
          <w:rFonts w:asciiTheme="minorHAnsi" w:hAnsiTheme="minorHAnsi" w:cs="Arial"/>
        </w:rPr>
        <w:t xml:space="preserve">providers of essential system services than there are currently. However, early in this transition process, there may not be sufficient providers of </w:t>
      </w:r>
      <w:r w:rsidR="00167617" w:rsidRPr="00A11265">
        <w:rPr>
          <w:rFonts w:asciiTheme="minorHAnsi" w:hAnsiTheme="minorHAnsi" w:cs="Arial"/>
        </w:rPr>
        <w:t>essential system services</w:t>
      </w:r>
      <w:r w:rsidR="00CA5D2D" w:rsidRPr="00A11265">
        <w:rPr>
          <w:rFonts w:asciiTheme="minorHAnsi" w:hAnsiTheme="minorHAnsi" w:cs="Arial"/>
        </w:rPr>
        <w:t xml:space="preserve"> to facilitate an effectively competitive market for each of</w:t>
      </w:r>
      <w:r w:rsidR="00167617" w:rsidRPr="00A11265">
        <w:rPr>
          <w:rFonts w:asciiTheme="minorHAnsi" w:hAnsiTheme="minorHAnsi" w:cs="Arial"/>
        </w:rPr>
        <w:t xml:space="preserve"> the required services</w:t>
      </w:r>
      <w:r w:rsidR="00CA5D2D" w:rsidRPr="00A11265">
        <w:rPr>
          <w:rFonts w:asciiTheme="minorHAnsi" w:hAnsiTheme="minorHAnsi" w:cs="Arial"/>
        </w:rPr>
        <w:t xml:space="preserve"> in each of the regulated systems.</w:t>
      </w:r>
    </w:p>
    <w:p w14:paraId="1F2830C0" w14:textId="4352DA6C" w:rsidR="00B36A4B" w:rsidRPr="00A11265" w:rsidRDefault="00CA5D2D">
      <w:pPr>
        <w:rPr>
          <w:rFonts w:asciiTheme="minorHAnsi" w:hAnsiTheme="minorHAnsi" w:cs="Arial"/>
        </w:rPr>
      </w:pPr>
      <w:r w:rsidRPr="00A11265">
        <w:rPr>
          <w:rFonts w:asciiTheme="minorHAnsi" w:hAnsiTheme="minorHAnsi" w:cs="Arial"/>
        </w:rPr>
        <w:t xml:space="preserve">At least in the short term for some services and for some systems, additional measures will be required to facilitate a transition to </w:t>
      </w:r>
      <w:r w:rsidR="00167617" w:rsidRPr="00A11265">
        <w:rPr>
          <w:rFonts w:asciiTheme="minorHAnsi" w:hAnsiTheme="minorHAnsi" w:cs="Arial"/>
        </w:rPr>
        <w:t xml:space="preserve">the </w:t>
      </w:r>
      <w:r w:rsidRPr="00A11265">
        <w:rPr>
          <w:rFonts w:asciiTheme="minorHAnsi" w:hAnsiTheme="minorHAnsi" w:cs="Arial"/>
        </w:rPr>
        <w:t>competitive</w:t>
      </w:r>
      <w:r w:rsidR="00167617" w:rsidRPr="00A11265">
        <w:rPr>
          <w:rFonts w:asciiTheme="minorHAnsi" w:hAnsiTheme="minorHAnsi" w:cs="Arial"/>
        </w:rPr>
        <w:t xml:space="preserve"> provision of</w:t>
      </w:r>
      <w:r w:rsidRPr="00A11265">
        <w:rPr>
          <w:rFonts w:asciiTheme="minorHAnsi" w:hAnsiTheme="minorHAnsi" w:cs="Arial"/>
        </w:rPr>
        <w:t xml:space="preserve"> essential system services while mitigating the potential for</w:t>
      </w:r>
      <w:r w:rsidR="00167617" w:rsidRPr="00A11265">
        <w:rPr>
          <w:rFonts w:asciiTheme="minorHAnsi" w:hAnsiTheme="minorHAnsi" w:cs="Arial"/>
        </w:rPr>
        <w:t xml:space="preserve"> T-Gen or another system participant</w:t>
      </w:r>
      <w:r w:rsidRPr="00A11265">
        <w:rPr>
          <w:rFonts w:asciiTheme="minorHAnsi" w:hAnsiTheme="minorHAnsi" w:cs="Arial"/>
        </w:rPr>
        <w:t xml:space="preserve"> to exert any market power.</w:t>
      </w:r>
    </w:p>
    <w:p w14:paraId="56F67742" w14:textId="3D7C4B82" w:rsidR="00B4316C" w:rsidRPr="00A11265" w:rsidRDefault="00B4316C" w:rsidP="00A23B49">
      <w:pPr>
        <w:pStyle w:val="Heading3"/>
        <w:keepNext/>
        <w:rPr>
          <w:szCs w:val="24"/>
          <w:lang w:eastAsia="en-AU"/>
        </w:rPr>
      </w:pPr>
      <w:r w:rsidRPr="00A11265">
        <w:rPr>
          <w:szCs w:val="24"/>
          <w:lang w:eastAsia="en-AU"/>
        </w:rPr>
        <w:lastRenderedPageBreak/>
        <w:t>Appropriate market power mitigation measures</w:t>
      </w:r>
    </w:p>
    <w:p w14:paraId="2B621773" w14:textId="00FE2E6A" w:rsidR="00CA5D2D" w:rsidRPr="00A11265" w:rsidRDefault="00CA5D2D" w:rsidP="00CA5D2D">
      <w:pPr>
        <w:rPr>
          <w:rFonts w:asciiTheme="minorHAnsi" w:hAnsiTheme="minorHAnsi" w:cs="Arial"/>
        </w:rPr>
      </w:pPr>
      <w:r w:rsidRPr="00A11265">
        <w:rPr>
          <w:rFonts w:asciiTheme="minorHAnsi" w:hAnsiTheme="minorHAnsi" w:cs="Arial"/>
        </w:rPr>
        <w:t>The Design Development Team</w:t>
      </w:r>
      <w:r w:rsidR="00B93B82" w:rsidRPr="00A11265">
        <w:rPr>
          <w:rFonts w:asciiTheme="minorHAnsi" w:hAnsiTheme="minorHAnsi" w:cs="Arial"/>
        </w:rPr>
        <w:t xml:space="preserve">, informed by its advisers </w:t>
      </w:r>
      <w:r w:rsidR="001913B5">
        <w:rPr>
          <w:rFonts w:asciiTheme="minorHAnsi" w:hAnsiTheme="minorHAnsi" w:cs="Arial"/>
        </w:rPr>
        <w:t xml:space="preserve">ACIL </w:t>
      </w:r>
      <w:r w:rsidR="00F07F03" w:rsidRPr="00A11265">
        <w:rPr>
          <w:rFonts w:asciiTheme="minorHAnsi" w:hAnsiTheme="minorHAnsi" w:cs="Arial"/>
        </w:rPr>
        <w:t>Allen,</w:t>
      </w:r>
      <w:r w:rsidRPr="00A11265">
        <w:rPr>
          <w:rFonts w:asciiTheme="minorHAnsi" w:hAnsiTheme="minorHAnsi" w:cs="Arial"/>
        </w:rPr>
        <w:t xml:space="preserve"> considered the following market power mitigation measures:</w:t>
      </w:r>
    </w:p>
    <w:p w14:paraId="6D2A6959" w14:textId="77777777" w:rsidR="00CA5D2D" w:rsidRPr="00A11265" w:rsidRDefault="00CA5D2D" w:rsidP="001F613E">
      <w:pPr>
        <w:pStyle w:val="ListParagraph"/>
        <w:numPr>
          <w:ilvl w:val="0"/>
          <w:numId w:val="11"/>
        </w:numPr>
        <w:spacing w:before="200"/>
        <w:ind w:left="426"/>
        <w:rPr>
          <w:rFonts w:cs="Arial"/>
        </w:rPr>
      </w:pPr>
      <w:r w:rsidRPr="00A11265">
        <w:rPr>
          <w:rFonts w:cs="Arial"/>
        </w:rPr>
        <w:t>administered prices for the provision of essential system services</w:t>
      </w:r>
    </w:p>
    <w:p w14:paraId="0F185B9E" w14:textId="77777777" w:rsidR="00CA5D2D" w:rsidRPr="00A11265" w:rsidRDefault="00CA5D2D" w:rsidP="001F613E">
      <w:pPr>
        <w:pStyle w:val="ListParagraph"/>
        <w:numPr>
          <w:ilvl w:val="0"/>
          <w:numId w:val="11"/>
        </w:numPr>
        <w:spacing w:before="200"/>
        <w:ind w:left="426"/>
        <w:rPr>
          <w:rFonts w:cs="Arial"/>
        </w:rPr>
      </w:pPr>
      <w:r w:rsidRPr="00A11265">
        <w:rPr>
          <w:rFonts w:cs="Arial"/>
        </w:rPr>
        <w:t>limits on revenue that can be earnt from providing essential system services</w:t>
      </w:r>
    </w:p>
    <w:p w14:paraId="347F7F9C" w14:textId="77777777" w:rsidR="00CA5D2D" w:rsidRPr="00A11265" w:rsidRDefault="00CA5D2D" w:rsidP="001F613E">
      <w:pPr>
        <w:pStyle w:val="ListParagraph"/>
        <w:numPr>
          <w:ilvl w:val="0"/>
          <w:numId w:val="11"/>
        </w:numPr>
        <w:spacing w:before="200"/>
        <w:ind w:left="426"/>
        <w:rPr>
          <w:rFonts w:cs="Arial"/>
        </w:rPr>
      </w:pPr>
      <w:r w:rsidRPr="00A11265">
        <w:rPr>
          <w:rFonts w:cs="Arial"/>
        </w:rPr>
        <w:t>constraints on offer prices in any market mechanism</w:t>
      </w:r>
    </w:p>
    <w:p w14:paraId="1A4F5AE4" w14:textId="37B8475E" w:rsidR="00CA5D2D" w:rsidRPr="00A11265" w:rsidRDefault="00CA5D2D" w:rsidP="001F613E">
      <w:pPr>
        <w:pStyle w:val="ListParagraph"/>
        <w:numPr>
          <w:ilvl w:val="0"/>
          <w:numId w:val="11"/>
        </w:numPr>
        <w:spacing w:before="200"/>
        <w:ind w:left="426"/>
        <w:rPr>
          <w:rFonts w:cs="Arial"/>
        </w:rPr>
      </w:pPr>
      <w:proofErr w:type="gramStart"/>
      <w:r w:rsidRPr="00A11265">
        <w:rPr>
          <w:rFonts w:cs="Arial"/>
        </w:rPr>
        <w:t>an</w:t>
      </w:r>
      <w:proofErr w:type="gramEnd"/>
      <w:r w:rsidRPr="00A11265">
        <w:rPr>
          <w:rFonts w:cs="Arial"/>
        </w:rPr>
        <w:t xml:space="preserve"> obligation to supply required volumes of essential system services, such as a default provider arrangement.</w:t>
      </w:r>
    </w:p>
    <w:p w14:paraId="42EEF06A" w14:textId="3AFE7DB2" w:rsidR="00DC55B3" w:rsidRPr="00A11265" w:rsidRDefault="00B36A4B" w:rsidP="00D24B1D">
      <w:pPr>
        <w:pStyle w:val="Heading4"/>
      </w:pPr>
      <w:r w:rsidRPr="00A11265">
        <w:t>Efficient provision of services</w:t>
      </w:r>
    </w:p>
    <w:p w14:paraId="4D6446C9" w14:textId="6E4253BE" w:rsidR="00D540C0" w:rsidRPr="00A11265" w:rsidRDefault="004B77A5" w:rsidP="00D540C0">
      <w:pPr>
        <w:rPr>
          <w:rFonts w:asciiTheme="minorHAnsi" w:hAnsiTheme="minorHAnsi" w:cs="Arial"/>
        </w:rPr>
      </w:pPr>
      <w:r>
        <w:rPr>
          <w:rFonts w:asciiTheme="minorHAnsi" w:hAnsiTheme="minorHAnsi" w:cs="Arial"/>
        </w:rPr>
        <w:t>If</w:t>
      </w:r>
      <w:r w:rsidR="009C008A" w:rsidRPr="00A11265">
        <w:rPr>
          <w:rFonts w:asciiTheme="minorHAnsi" w:hAnsiTheme="minorHAnsi" w:cs="Arial"/>
        </w:rPr>
        <w:t xml:space="preserve"> T-Gen</w:t>
      </w:r>
      <w:r w:rsidR="00EC6486" w:rsidRPr="00A11265">
        <w:rPr>
          <w:rFonts w:asciiTheme="minorHAnsi" w:hAnsiTheme="minorHAnsi" w:cs="Arial"/>
        </w:rPr>
        <w:t xml:space="preserve"> or </w:t>
      </w:r>
      <w:r w:rsidR="00BC7422">
        <w:rPr>
          <w:rFonts w:asciiTheme="minorHAnsi" w:hAnsiTheme="minorHAnsi" w:cs="Arial"/>
        </w:rPr>
        <w:t>an</w:t>
      </w:r>
      <w:r w:rsidR="00EC6486" w:rsidRPr="00A11265">
        <w:rPr>
          <w:rFonts w:asciiTheme="minorHAnsi" w:hAnsiTheme="minorHAnsi" w:cs="Arial"/>
        </w:rPr>
        <w:t>other system participant</w:t>
      </w:r>
      <w:r w:rsidR="008A3FDF" w:rsidRPr="00A11265">
        <w:rPr>
          <w:rFonts w:asciiTheme="minorHAnsi" w:hAnsiTheme="minorHAnsi" w:cs="Arial"/>
        </w:rPr>
        <w:t xml:space="preserve"> able</w:t>
      </w:r>
      <w:r w:rsidR="00D540C0" w:rsidRPr="00A11265">
        <w:rPr>
          <w:rFonts w:asciiTheme="minorHAnsi" w:hAnsiTheme="minorHAnsi" w:cs="Arial"/>
        </w:rPr>
        <w:t xml:space="preserve"> to exert market power in the supply of essential system services, there will be the potential for these services to be supplied inefficiently. The objective of introducing measures to mitigate the exercise of market power is to minimise the inefficiencies that would otherwi</w:t>
      </w:r>
      <w:r w:rsidR="008A3FDF" w:rsidRPr="00A11265">
        <w:rPr>
          <w:rFonts w:asciiTheme="minorHAnsi" w:hAnsiTheme="minorHAnsi" w:cs="Arial"/>
        </w:rPr>
        <w:t>se arise in the provision of essential system services</w:t>
      </w:r>
      <w:r w:rsidR="00D540C0" w:rsidRPr="00A11265">
        <w:rPr>
          <w:rFonts w:asciiTheme="minorHAnsi" w:hAnsiTheme="minorHAnsi" w:cs="Arial"/>
        </w:rPr>
        <w:t>, both in the short term and the long term. In the long term, services will be provided efficiently if there is an effectively competitive market.</w:t>
      </w:r>
    </w:p>
    <w:p w14:paraId="4FE36872" w14:textId="642DB9D4" w:rsidR="0060475C" w:rsidRPr="00A11265" w:rsidRDefault="0060475C" w:rsidP="00D9724C">
      <w:pPr>
        <w:keepNext/>
        <w:rPr>
          <w:rFonts w:asciiTheme="minorHAnsi" w:hAnsiTheme="minorHAnsi" w:cs="Arial"/>
          <w:i/>
        </w:rPr>
      </w:pPr>
      <w:r w:rsidRPr="00A11265">
        <w:rPr>
          <w:rFonts w:asciiTheme="minorHAnsi" w:hAnsiTheme="minorHAnsi" w:cs="Arial"/>
          <w:i/>
        </w:rPr>
        <w:t>Administered prices</w:t>
      </w:r>
    </w:p>
    <w:p w14:paraId="1AFC7B8B" w14:textId="4A2D9315" w:rsidR="00D540C0" w:rsidRPr="00A11265" w:rsidRDefault="00D540C0" w:rsidP="00D540C0">
      <w:pPr>
        <w:rPr>
          <w:rFonts w:asciiTheme="minorHAnsi" w:hAnsiTheme="minorHAnsi" w:cs="Arial"/>
        </w:rPr>
      </w:pPr>
      <w:r w:rsidRPr="00A11265">
        <w:rPr>
          <w:rFonts w:asciiTheme="minorHAnsi" w:hAnsiTheme="minorHAnsi" w:cs="Arial"/>
        </w:rPr>
        <w:t>Administered prices can be set based on the actual cost of providing services or the LR</w:t>
      </w:r>
      <w:r w:rsidR="00074AE4" w:rsidRPr="00A11265">
        <w:rPr>
          <w:rFonts w:asciiTheme="minorHAnsi" w:hAnsiTheme="minorHAnsi" w:cs="Arial"/>
        </w:rPr>
        <w:t>MC of</w:t>
      </w:r>
      <w:r w:rsidR="000D00CD" w:rsidRPr="00A11265">
        <w:rPr>
          <w:rFonts w:asciiTheme="minorHAnsi" w:hAnsiTheme="minorHAnsi" w:cs="Arial"/>
        </w:rPr>
        <w:t xml:space="preserve"> providing those services (Box 5</w:t>
      </w:r>
      <w:r w:rsidR="00074AE4" w:rsidRPr="00A11265">
        <w:rPr>
          <w:rFonts w:asciiTheme="minorHAnsi" w:hAnsiTheme="minorHAnsi" w:cs="Arial"/>
        </w:rPr>
        <w:t>-1).</w:t>
      </w:r>
      <w:r w:rsidRPr="00A11265">
        <w:rPr>
          <w:rFonts w:asciiTheme="minorHAnsi" w:hAnsiTheme="minorHAnsi" w:cs="Arial"/>
        </w:rPr>
        <w:t xml:space="preserve"> </w:t>
      </w:r>
    </w:p>
    <w:p w14:paraId="63FFE471" w14:textId="5170714B" w:rsidR="00D540C0" w:rsidRPr="00A11265" w:rsidRDefault="000D00CD" w:rsidP="00A23B49">
      <w:pPr>
        <w:keepNext/>
        <w:spacing w:after="0"/>
        <w:rPr>
          <w:rFonts w:asciiTheme="minorHAnsi" w:hAnsiTheme="minorHAnsi" w:cs="Arial"/>
          <w:b/>
        </w:rPr>
      </w:pPr>
      <w:r w:rsidRPr="00A11265">
        <w:rPr>
          <w:rFonts w:asciiTheme="minorHAnsi" w:hAnsiTheme="minorHAnsi" w:cs="Arial"/>
          <w:b/>
        </w:rPr>
        <w:t>Box 5</w:t>
      </w:r>
      <w:r w:rsidR="00D540C0" w:rsidRPr="00A11265">
        <w:rPr>
          <w:rFonts w:asciiTheme="minorHAnsi" w:hAnsiTheme="minorHAnsi" w:cs="Arial"/>
          <w:b/>
        </w:rPr>
        <w:t>-1</w:t>
      </w:r>
      <w:r w:rsidR="00CA5D2D" w:rsidRPr="00A11265">
        <w:rPr>
          <w:rFonts w:asciiTheme="minorHAnsi" w:hAnsiTheme="minorHAnsi" w:cs="Arial"/>
          <w:b/>
        </w:rPr>
        <w:tab/>
        <w:t>Actual cost and Long</w:t>
      </w:r>
      <w:r w:rsidR="00A769B4">
        <w:rPr>
          <w:rFonts w:asciiTheme="minorHAnsi" w:hAnsiTheme="minorHAnsi" w:cs="Arial"/>
          <w:b/>
        </w:rPr>
        <w:noBreakHyphen/>
      </w:r>
      <w:r w:rsidR="00CA5D2D" w:rsidRPr="00A11265">
        <w:rPr>
          <w:rFonts w:asciiTheme="minorHAnsi" w:hAnsiTheme="minorHAnsi" w:cs="Arial"/>
          <w:b/>
        </w:rPr>
        <w:t>Run Marginal Cost</w:t>
      </w:r>
    </w:p>
    <w:tbl>
      <w:tblPr>
        <w:tblStyle w:val="TableGrid"/>
        <w:tblW w:w="0" w:type="auto"/>
        <w:tblLook w:val="04A0" w:firstRow="1" w:lastRow="0" w:firstColumn="1" w:lastColumn="0" w:noHBand="0" w:noVBand="1"/>
      </w:tblPr>
      <w:tblGrid>
        <w:gridCol w:w="10308"/>
      </w:tblGrid>
      <w:tr w:rsidR="000A4C5A" w:rsidRPr="00A11265" w14:paraId="5510CC02" w14:textId="77777777" w:rsidTr="009C008A">
        <w:tc>
          <w:tcPr>
            <w:tcW w:w="0" w:type="auto"/>
          </w:tcPr>
          <w:p w14:paraId="6A6F7674" w14:textId="77777777" w:rsidR="00D540C0" w:rsidRPr="00A11265" w:rsidRDefault="00D540C0" w:rsidP="00D9724C">
            <w:pPr>
              <w:spacing w:before="200"/>
              <w:rPr>
                <w:rFonts w:asciiTheme="minorHAnsi" w:hAnsiTheme="minorHAnsi" w:cs="Arial"/>
                <w:b/>
              </w:rPr>
            </w:pPr>
            <w:r w:rsidRPr="00A11265">
              <w:rPr>
                <w:rFonts w:asciiTheme="minorHAnsi" w:hAnsiTheme="minorHAnsi" w:cs="Arial"/>
                <w:b/>
              </w:rPr>
              <w:t>Actual cost</w:t>
            </w:r>
          </w:p>
          <w:p w14:paraId="4A939199" w14:textId="77777777" w:rsidR="00D540C0" w:rsidRPr="00A11265" w:rsidRDefault="00D540C0" w:rsidP="00D9724C">
            <w:pPr>
              <w:rPr>
                <w:rFonts w:asciiTheme="minorHAnsi" w:hAnsiTheme="minorHAnsi" w:cs="Arial"/>
              </w:rPr>
            </w:pPr>
            <w:r w:rsidRPr="00A11265">
              <w:rPr>
                <w:rFonts w:asciiTheme="minorHAnsi" w:hAnsiTheme="minorHAnsi" w:cs="Arial"/>
              </w:rPr>
              <w:t>The total actual costs for providing a service would typically be estimated using a building block approach which comprises:</w:t>
            </w:r>
          </w:p>
          <w:p w14:paraId="1A457120" w14:textId="001A4DA8" w:rsidR="00D540C0" w:rsidRPr="00A11265" w:rsidRDefault="00D540C0" w:rsidP="001F613E">
            <w:pPr>
              <w:pStyle w:val="ListParagraph"/>
              <w:numPr>
                <w:ilvl w:val="0"/>
                <w:numId w:val="11"/>
              </w:numPr>
              <w:spacing w:before="200"/>
              <w:ind w:left="426"/>
              <w:rPr>
                <w:rFonts w:cs="Arial"/>
              </w:rPr>
            </w:pPr>
            <w:r w:rsidRPr="00A11265">
              <w:rPr>
                <w:rFonts w:cs="Arial"/>
              </w:rPr>
              <w:t>the return of capital, that is, depreciation</w:t>
            </w:r>
          </w:p>
          <w:p w14:paraId="7511AA98" w14:textId="42722ED0" w:rsidR="00D540C0" w:rsidRPr="00A11265" w:rsidRDefault="00D540C0" w:rsidP="001F613E">
            <w:pPr>
              <w:pStyle w:val="ListParagraph"/>
              <w:numPr>
                <w:ilvl w:val="0"/>
                <w:numId w:val="11"/>
              </w:numPr>
              <w:spacing w:before="200"/>
              <w:ind w:left="426"/>
              <w:rPr>
                <w:rFonts w:cs="Arial"/>
              </w:rPr>
            </w:pPr>
            <w:r w:rsidRPr="00A11265">
              <w:rPr>
                <w:rFonts w:cs="Arial"/>
              </w:rPr>
              <w:t>the return on capital</w:t>
            </w:r>
          </w:p>
          <w:p w14:paraId="41CA7E7B" w14:textId="4C34AF97" w:rsidR="00D540C0" w:rsidRPr="00A11265" w:rsidRDefault="00D540C0" w:rsidP="001F613E">
            <w:pPr>
              <w:pStyle w:val="ListParagraph"/>
              <w:numPr>
                <w:ilvl w:val="0"/>
                <w:numId w:val="11"/>
              </w:numPr>
              <w:spacing w:before="200"/>
              <w:ind w:left="426"/>
              <w:rPr>
                <w:rFonts w:cs="Arial"/>
              </w:rPr>
            </w:pPr>
            <w:r w:rsidRPr="00A11265">
              <w:rPr>
                <w:rFonts w:cs="Arial"/>
              </w:rPr>
              <w:t>fixed operating and maintenance costs</w:t>
            </w:r>
          </w:p>
          <w:p w14:paraId="106318DE" w14:textId="30A44E1C" w:rsidR="00D540C0" w:rsidRPr="00A11265" w:rsidRDefault="00D540C0" w:rsidP="001F613E">
            <w:pPr>
              <w:pStyle w:val="ListParagraph"/>
              <w:numPr>
                <w:ilvl w:val="0"/>
                <w:numId w:val="11"/>
              </w:numPr>
              <w:spacing w:before="200"/>
              <w:ind w:left="426"/>
              <w:rPr>
                <w:rFonts w:cs="Arial"/>
              </w:rPr>
            </w:pPr>
            <w:r w:rsidRPr="00A11265">
              <w:rPr>
                <w:rFonts w:cs="Arial"/>
              </w:rPr>
              <w:t>variable costs over the life of the plant (including fuel)</w:t>
            </w:r>
          </w:p>
          <w:p w14:paraId="44BDAA81" w14:textId="1C2A177D" w:rsidR="00D540C0" w:rsidRPr="00A11265" w:rsidRDefault="00D540C0" w:rsidP="001F613E">
            <w:pPr>
              <w:pStyle w:val="ListParagraph"/>
              <w:numPr>
                <w:ilvl w:val="0"/>
                <w:numId w:val="11"/>
              </w:numPr>
              <w:spacing w:before="200"/>
              <w:ind w:left="426"/>
              <w:rPr>
                <w:rFonts w:cs="Arial"/>
              </w:rPr>
            </w:pPr>
            <w:proofErr w:type="gramStart"/>
            <w:r w:rsidRPr="00A11265">
              <w:rPr>
                <w:rFonts w:cs="Arial"/>
              </w:rPr>
              <w:t>tax</w:t>
            </w:r>
            <w:proofErr w:type="gramEnd"/>
            <w:r w:rsidRPr="00A11265">
              <w:rPr>
                <w:rFonts w:cs="Arial"/>
              </w:rPr>
              <w:t xml:space="preserve"> costs (if using a post-tax rate of return).</w:t>
            </w:r>
          </w:p>
          <w:p w14:paraId="3B42F6FF" w14:textId="14C0E777" w:rsidR="00D540C0" w:rsidRPr="00A11265" w:rsidRDefault="00D540C0" w:rsidP="00D9724C">
            <w:pPr>
              <w:rPr>
                <w:rFonts w:asciiTheme="minorHAnsi" w:hAnsiTheme="minorHAnsi" w:cs="Arial"/>
              </w:rPr>
            </w:pPr>
            <w:r w:rsidRPr="00A11265">
              <w:rPr>
                <w:rFonts w:asciiTheme="minorHAnsi" w:hAnsiTheme="minorHAnsi" w:cs="Arial"/>
              </w:rPr>
              <w:t>In the case of generators, the variable costs include the cost of fuel and in the case of batteries, includes the cost of charging the battery.</w:t>
            </w:r>
          </w:p>
          <w:p w14:paraId="130A7034" w14:textId="3A90684F" w:rsidR="00D540C0" w:rsidRPr="00A11265" w:rsidRDefault="00D540C0" w:rsidP="00D9724C">
            <w:pPr>
              <w:rPr>
                <w:rFonts w:asciiTheme="minorHAnsi" w:hAnsiTheme="minorHAnsi" w:cs="Arial"/>
              </w:rPr>
            </w:pPr>
            <w:r w:rsidRPr="00A11265">
              <w:rPr>
                <w:rFonts w:asciiTheme="minorHAnsi" w:hAnsiTheme="minorHAnsi" w:cs="Arial"/>
              </w:rPr>
              <w:t xml:space="preserve">If the plant providing a service could produce energy as well as provide essential system services, the fixed costs (the capital costs and the fixed operating and maintenance costs) could be recovered through the sale of energy and in providing </w:t>
            </w:r>
            <w:r w:rsidR="003F6DAB" w:rsidRPr="00A11265">
              <w:rPr>
                <w:rFonts w:asciiTheme="minorHAnsi" w:hAnsiTheme="minorHAnsi" w:cs="Arial"/>
              </w:rPr>
              <w:t>essential system services</w:t>
            </w:r>
            <w:r w:rsidRPr="00A11265">
              <w:rPr>
                <w:rFonts w:asciiTheme="minorHAnsi" w:hAnsiTheme="minorHAnsi" w:cs="Arial"/>
              </w:rPr>
              <w:t xml:space="preserve">. The actual costs associated with the provision of </w:t>
            </w:r>
            <w:r w:rsidR="003F6DAB" w:rsidRPr="00A11265">
              <w:rPr>
                <w:rFonts w:asciiTheme="minorHAnsi" w:hAnsiTheme="minorHAnsi" w:cs="Arial"/>
              </w:rPr>
              <w:t>essential system services</w:t>
            </w:r>
            <w:r w:rsidRPr="00A11265">
              <w:rPr>
                <w:rFonts w:asciiTheme="minorHAnsi" w:hAnsiTheme="minorHAnsi" w:cs="Arial"/>
              </w:rPr>
              <w:t xml:space="preserve"> could be determined on a marginal basis or on a fully absorbed cost basis.</w:t>
            </w:r>
          </w:p>
          <w:p w14:paraId="127F2D05" w14:textId="5645EE08" w:rsidR="00D540C0" w:rsidRPr="00A11265" w:rsidRDefault="00D540C0" w:rsidP="00D9724C">
            <w:pPr>
              <w:rPr>
                <w:rFonts w:asciiTheme="minorHAnsi" w:hAnsiTheme="minorHAnsi" w:cs="Arial"/>
              </w:rPr>
            </w:pPr>
            <w:r w:rsidRPr="00A11265">
              <w:rPr>
                <w:rFonts w:asciiTheme="minorHAnsi" w:hAnsiTheme="minorHAnsi" w:cs="Arial"/>
              </w:rPr>
              <w:t xml:space="preserve">If the actual costs associated with the provision of </w:t>
            </w:r>
            <w:r w:rsidR="003F6DAB" w:rsidRPr="00A11265">
              <w:rPr>
                <w:rFonts w:asciiTheme="minorHAnsi" w:hAnsiTheme="minorHAnsi" w:cs="Arial"/>
              </w:rPr>
              <w:t>essential system services</w:t>
            </w:r>
            <w:r w:rsidRPr="00A11265">
              <w:rPr>
                <w:rFonts w:asciiTheme="minorHAnsi" w:hAnsiTheme="minorHAnsi" w:cs="Arial"/>
              </w:rPr>
              <w:t xml:space="preserve"> are determined on a marginal basis, the fixed costs would be fully recovered through the sale of energy. Any incremental fixed costs and the variable costs associated with the provision of </w:t>
            </w:r>
            <w:r w:rsidR="003F6DAB" w:rsidRPr="00A11265">
              <w:rPr>
                <w:rFonts w:asciiTheme="minorHAnsi" w:hAnsiTheme="minorHAnsi" w:cs="Arial"/>
              </w:rPr>
              <w:t>essential system services</w:t>
            </w:r>
            <w:r w:rsidRPr="00A11265">
              <w:rPr>
                <w:rFonts w:asciiTheme="minorHAnsi" w:hAnsiTheme="minorHAnsi" w:cs="Arial"/>
              </w:rPr>
              <w:t xml:space="preserve"> would be recovered through the provision of </w:t>
            </w:r>
            <w:r w:rsidR="003F6DAB" w:rsidRPr="00A11265">
              <w:rPr>
                <w:rFonts w:asciiTheme="minorHAnsi" w:hAnsiTheme="minorHAnsi" w:cs="Arial"/>
              </w:rPr>
              <w:t>essential system services</w:t>
            </w:r>
            <w:r w:rsidRPr="00A11265">
              <w:rPr>
                <w:rFonts w:asciiTheme="minorHAnsi" w:hAnsiTheme="minorHAnsi" w:cs="Arial"/>
              </w:rPr>
              <w:t>.</w:t>
            </w:r>
          </w:p>
          <w:p w14:paraId="33EEE026" w14:textId="61B7388A" w:rsidR="00D540C0" w:rsidRPr="00A11265" w:rsidRDefault="00D540C0" w:rsidP="00D9724C">
            <w:pPr>
              <w:rPr>
                <w:rFonts w:asciiTheme="minorHAnsi" w:hAnsiTheme="minorHAnsi" w:cs="Arial"/>
              </w:rPr>
            </w:pPr>
            <w:r w:rsidRPr="00A11265">
              <w:rPr>
                <w:rFonts w:asciiTheme="minorHAnsi" w:hAnsiTheme="minorHAnsi" w:cs="Arial"/>
              </w:rPr>
              <w:lastRenderedPageBreak/>
              <w:t xml:space="preserve">If the actual costs associated with the provision of </w:t>
            </w:r>
            <w:r w:rsidR="003F6DAB" w:rsidRPr="00A11265">
              <w:rPr>
                <w:rFonts w:asciiTheme="minorHAnsi" w:hAnsiTheme="minorHAnsi" w:cs="Arial"/>
              </w:rPr>
              <w:t>essential system services</w:t>
            </w:r>
            <w:r w:rsidRPr="00A11265">
              <w:rPr>
                <w:rFonts w:asciiTheme="minorHAnsi" w:hAnsiTheme="minorHAnsi" w:cs="Arial"/>
              </w:rPr>
              <w:t xml:space="preserve"> are determined on a fully absorbed cost basis, the fixed costs would be allocated between the two services </w:t>
            </w:r>
            <w:r w:rsidR="0099483B" w:rsidRPr="00A11265">
              <w:rPr>
                <w:rFonts w:asciiTheme="minorHAnsi" w:hAnsiTheme="minorHAnsi" w:cs="Arial"/>
              </w:rPr>
              <w:t>—</w:t>
            </w:r>
            <w:r w:rsidRPr="00A11265">
              <w:rPr>
                <w:rFonts w:asciiTheme="minorHAnsi" w:hAnsiTheme="minorHAnsi" w:cs="Arial"/>
              </w:rPr>
              <w:t xml:space="preserve"> the sale of energy and the provision of </w:t>
            </w:r>
            <w:r w:rsidR="003F6DAB" w:rsidRPr="00A11265">
              <w:rPr>
                <w:rFonts w:asciiTheme="minorHAnsi" w:hAnsiTheme="minorHAnsi" w:cs="Arial"/>
              </w:rPr>
              <w:t>essential system services</w:t>
            </w:r>
            <w:r w:rsidRPr="00A11265">
              <w:rPr>
                <w:rFonts w:asciiTheme="minorHAnsi" w:hAnsiTheme="minorHAnsi" w:cs="Arial"/>
              </w:rPr>
              <w:t xml:space="preserve">. The actual costs for providing </w:t>
            </w:r>
            <w:r w:rsidR="004B77A5">
              <w:rPr>
                <w:rFonts w:asciiTheme="minorHAnsi" w:hAnsiTheme="minorHAnsi" w:cs="Arial"/>
              </w:rPr>
              <w:t>e</w:t>
            </w:r>
            <w:r w:rsidR="003F6DAB" w:rsidRPr="00A11265">
              <w:rPr>
                <w:rFonts w:asciiTheme="minorHAnsi" w:hAnsiTheme="minorHAnsi" w:cs="Arial"/>
              </w:rPr>
              <w:t>ssential system services</w:t>
            </w:r>
            <w:r w:rsidRPr="00A11265">
              <w:rPr>
                <w:rFonts w:asciiTheme="minorHAnsi" w:hAnsiTheme="minorHAnsi" w:cs="Arial"/>
              </w:rPr>
              <w:t xml:space="preserve"> would be the allocation of the fixed costs and variable costs incurred in providing </w:t>
            </w:r>
            <w:r w:rsidR="003F6DAB" w:rsidRPr="00A11265">
              <w:rPr>
                <w:rFonts w:asciiTheme="minorHAnsi" w:hAnsiTheme="minorHAnsi" w:cs="Arial"/>
              </w:rPr>
              <w:t>essential system services</w:t>
            </w:r>
            <w:r w:rsidRPr="00A11265">
              <w:rPr>
                <w:rFonts w:asciiTheme="minorHAnsi" w:hAnsiTheme="minorHAnsi" w:cs="Arial"/>
              </w:rPr>
              <w:t>.</w:t>
            </w:r>
          </w:p>
          <w:p w14:paraId="174E507E" w14:textId="6E19E8A5" w:rsidR="00D540C0" w:rsidRPr="00A11265" w:rsidRDefault="00D540C0" w:rsidP="00D9724C">
            <w:pPr>
              <w:rPr>
                <w:rFonts w:asciiTheme="minorHAnsi" w:hAnsiTheme="minorHAnsi" w:cs="Arial"/>
              </w:rPr>
            </w:pPr>
            <w:r w:rsidRPr="00A11265">
              <w:rPr>
                <w:rFonts w:asciiTheme="minorHAnsi" w:hAnsiTheme="minorHAnsi" w:cs="Arial"/>
              </w:rPr>
              <w:t>A unit cost would be calculated by dividing the total costs by the volume of services forecast to be provided.</w:t>
            </w:r>
          </w:p>
          <w:p w14:paraId="543C3CD7" w14:textId="2FE571C5" w:rsidR="00D540C0" w:rsidRPr="00A11265" w:rsidRDefault="00D540C0" w:rsidP="00D9724C">
            <w:pPr>
              <w:keepNext/>
              <w:rPr>
                <w:rFonts w:asciiTheme="minorHAnsi" w:hAnsiTheme="minorHAnsi" w:cs="Arial"/>
                <w:b/>
              </w:rPr>
            </w:pPr>
            <w:r w:rsidRPr="00A11265">
              <w:rPr>
                <w:rFonts w:asciiTheme="minorHAnsi" w:hAnsiTheme="minorHAnsi" w:cs="Arial"/>
                <w:b/>
              </w:rPr>
              <w:t>Long</w:t>
            </w:r>
            <w:r w:rsidR="001D0296" w:rsidRPr="00A11265">
              <w:rPr>
                <w:rFonts w:asciiTheme="minorHAnsi" w:hAnsiTheme="minorHAnsi" w:cs="Arial"/>
                <w:b/>
              </w:rPr>
              <w:noBreakHyphen/>
            </w:r>
            <w:r w:rsidRPr="00A11265">
              <w:rPr>
                <w:rFonts w:asciiTheme="minorHAnsi" w:hAnsiTheme="minorHAnsi" w:cs="Arial"/>
                <w:b/>
              </w:rPr>
              <w:t>run marginal cost</w:t>
            </w:r>
          </w:p>
          <w:p w14:paraId="35A92338" w14:textId="77777777" w:rsidR="00D540C0" w:rsidRPr="00A11265" w:rsidRDefault="00D540C0" w:rsidP="00D9724C">
            <w:pPr>
              <w:rPr>
                <w:rFonts w:asciiTheme="minorHAnsi" w:hAnsiTheme="minorHAnsi" w:cs="Arial"/>
              </w:rPr>
            </w:pPr>
            <w:r w:rsidRPr="00A11265">
              <w:rPr>
                <w:rFonts w:asciiTheme="minorHAnsi" w:hAnsiTheme="minorHAnsi" w:cs="Arial"/>
              </w:rPr>
              <w:t>The marginal cost is the cost of producing a particular unit of output.</w:t>
            </w:r>
          </w:p>
          <w:p w14:paraId="34B8F136" w14:textId="30C85EC4" w:rsidR="00D540C0" w:rsidRPr="00A11265" w:rsidRDefault="00D540C0" w:rsidP="00D9724C">
            <w:pPr>
              <w:rPr>
                <w:rFonts w:asciiTheme="minorHAnsi" w:hAnsiTheme="minorHAnsi" w:cs="Arial"/>
              </w:rPr>
            </w:pPr>
            <w:r w:rsidRPr="00A11265">
              <w:rPr>
                <w:rFonts w:asciiTheme="minorHAnsi" w:hAnsiTheme="minorHAnsi" w:cs="Arial"/>
              </w:rPr>
              <w:t>The marginal cost of the first unit of output is all the fixed cost</w:t>
            </w:r>
            <w:r w:rsidR="00BC7422">
              <w:rPr>
                <w:rFonts w:asciiTheme="minorHAnsi" w:hAnsiTheme="minorHAnsi" w:cs="Arial"/>
              </w:rPr>
              <w:t>s</w:t>
            </w:r>
            <w:r w:rsidRPr="00A11265">
              <w:rPr>
                <w:rFonts w:asciiTheme="minorHAnsi" w:hAnsiTheme="minorHAnsi" w:cs="Arial"/>
              </w:rPr>
              <w:t xml:space="preserve"> and the variable cost</w:t>
            </w:r>
            <w:r w:rsidR="00BC7422">
              <w:rPr>
                <w:rFonts w:asciiTheme="minorHAnsi" w:hAnsiTheme="minorHAnsi" w:cs="Arial"/>
              </w:rPr>
              <w:t>s</w:t>
            </w:r>
            <w:r w:rsidRPr="00A11265">
              <w:rPr>
                <w:rFonts w:asciiTheme="minorHAnsi" w:hAnsiTheme="minorHAnsi" w:cs="Arial"/>
              </w:rPr>
              <w:t xml:space="preserve"> of the first unit.</w:t>
            </w:r>
          </w:p>
          <w:p w14:paraId="48A5C992" w14:textId="360A849A" w:rsidR="00D540C0" w:rsidRPr="00A11265" w:rsidRDefault="00D540C0" w:rsidP="00D9724C">
            <w:pPr>
              <w:rPr>
                <w:rFonts w:asciiTheme="minorHAnsi" w:hAnsiTheme="minorHAnsi" w:cs="Arial"/>
              </w:rPr>
            </w:pPr>
            <w:r w:rsidRPr="00A11265">
              <w:rPr>
                <w:rFonts w:asciiTheme="minorHAnsi" w:hAnsiTheme="minorHAnsi" w:cs="Arial"/>
              </w:rPr>
              <w:t>The marginal cost can be different in the short term, where some costs are fixed, and in the long term, where no costs are fixed.</w:t>
            </w:r>
          </w:p>
          <w:p w14:paraId="455E1059" w14:textId="1D75A763" w:rsidR="00D540C0" w:rsidRPr="00A11265" w:rsidRDefault="00D540C0" w:rsidP="00D9724C">
            <w:pPr>
              <w:rPr>
                <w:rFonts w:asciiTheme="minorHAnsi" w:hAnsiTheme="minorHAnsi" w:cs="Arial"/>
              </w:rPr>
            </w:pPr>
            <w:r w:rsidRPr="00A11265">
              <w:rPr>
                <w:rFonts w:asciiTheme="minorHAnsi" w:hAnsiTheme="minorHAnsi" w:cs="Arial"/>
              </w:rPr>
              <w:t xml:space="preserve">When determining the </w:t>
            </w:r>
            <w:r w:rsidR="004B77A5">
              <w:rPr>
                <w:rFonts w:asciiTheme="minorHAnsi" w:hAnsiTheme="minorHAnsi" w:cs="Arial"/>
              </w:rPr>
              <w:t>LRMC</w:t>
            </w:r>
            <w:r w:rsidRPr="00A11265">
              <w:rPr>
                <w:rFonts w:asciiTheme="minorHAnsi" w:hAnsiTheme="minorHAnsi" w:cs="Arial"/>
              </w:rPr>
              <w:t xml:space="preserve"> to provide a service at a point in time, the period over which no costs are fixed (that is, all costs are considered to be variable) is the life of the plant that provides that service.</w:t>
            </w:r>
          </w:p>
          <w:p w14:paraId="44A60B30" w14:textId="2469DED5" w:rsidR="00D540C0" w:rsidRPr="00A11265" w:rsidRDefault="00D540C0" w:rsidP="00D9724C">
            <w:pPr>
              <w:rPr>
                <w:rFonts w:asciiTheme="minorHAnsi" w:hAnsiTheme="minorHAnsi" w:cs="Arial"/>
              </w:rPr>
            </w:pPr>
            <w:r w:rsidRPr="00A11265">
              <w:rPr>
                <w:rFonts w:asciiTheme="minorHAnsi" w:hAnsiTheme="minorHAnsi" w:cs="Arial"/>
              </w:rPr>
              <w:t>The LRMC is therefore defined as the cost of an incremental unit of capacity, spread across each unit of service provided over the life of the plant.</w:t>
            </w:r>
          </w:p>
          <w:p w14:paraId="3107F6A6" w14:textId="77777777" w:rsidR="00D540C0" w:rsidRPr="00A11265" w:rsidRDefault="00D540C0" w:rsidP="00D9724C">
            <w:pPr>
              <w:rPr>
                <w:rFonts w:asciiTheme="minorHAnsi" w:hAnsiTheme="minorHAnsi" w:cs="Arial"/>
              </w:rPr>
            </w:pPr>
            <w:r w:rsidRPr="00A11265">
              <w:rPr>
                <w:rFonts w:asciiTheme="minorHAnsi" w:hAnsiTheme="minorHAnsi" w:cs="Arial"/>
              </w:rPr>
              <w:t>When calculating the LRMC for new plant, the costs considered include all costs relevant to the investment decision. These costs are:</w:t>
            </w:r>
          </w:p>
          <w:p w14:paraId="198DF95A" w14:textId="5F3700A6" w:rsidR="00D540C0" w:rsidRPr="00A11265" w:rsidRDefault="00D540C0" w:rsidP="001F613E">
            <w:pPr>
              <w:pStyle w:val="ListParagraph"/>
              <w:numPr>
                <w:ilvl w:val="0"/>
                <w:numId w:val="11"/>
              </w:numPr>
              <w:spacing w:before="200"/>
              <w:ind w:left="426"/>
              <w:rPr>
                <w:rFonts w:cs="Arial"/>
              </w:rPr>
            </w:pPr>
            <w:r w:rsidRPr="00A11265">
              <w:rPr>
                <w:rFonts w:cs="Arial"/>
              </w:rPr>
              <w:t>the capital cost (including connection and other infrastructure)</w:t>
            </w:r>
          </w:p>
          <w:p w14:paraId="76A3AA43" w14:textId="2F87ACE7" w:rsidR="00D540C0" w:rsidRPr="00A11265" w:rsidRDefault="00D540C0" w:rsidP="001F613E">
            <w:pPr>
              <w:pStyle w:val="ListParagraph"/>
              <w:numPr>
                <w:ilvl w:val="0"/>
                <w:numId w:val="11"/>
              </w:numPr>
              <w:spacing w:before="200"/>
              <w:ind w:left="426"/>
              <w:rPr>
                <w:rFonts w:cs="Arial"/>
              </w:rPr>
            </w:pPr>
            <w:r w:rsidRPr="00A11265">
              <w:rPr>
                <w:rFonts w:cs="Arial"/>
              </w:rPr>
              <w:t>other costs, including legal and project management costs</w:t>
            </w:r>
          </w:p>
          <w:p w14:paraId="7FC7D1DC" w14:textId="73A4BFB8" w:rsidR="00D540C0" w:rsidRPr="00A11265" w:rsidRDefault="00D540C0" w:rsidP="001F613E">
            <w:pPr>
              <w:pStyle w:val="ListParagraph"/>
              <w:numPr>
                <w:ilvl w:val="0"/>
                <w:numId w:val="11"/>
              </w:numPr>
              <w:spacing w:before="200"/>
              <w:ind w:left="426"/>
              <w:rPr>
                <w:rFonts w:cs="Arial"/>
              </w:rPr>
            </w:pPr>
            <w:r w:rsidRPr="00A11265">
              <w:rPr>
                <w:rFonts w:cs="Arial"/>
              </w:rPr>
              <w:t>fixed operating and maintenance costs</w:t>
            </w:r>
          </w:p>
          <w:p w14:paraId="2FCAD923" w14:textId="41E70A10" w:rsidR="00D540C0" w:rsidRPr="00A11265" w:rsidRDefault="00D540C0" w:rsidP="001F613E">
            <w:pPr>
              <w:pStyle w:val="ListParagraph"/>
              <w:numPr>
                <w:ilvl w:val="0"/>
                <w:numId w:val="11"/>
              </w:numPr>
              <w:spacing w:before="200"/>
              <w:ind w:left="426"/>
              <w:rPr>
                <w:rFonts w:cs="Arial"/>
              </w:rPr>
            </w:pPr>
            <w:r w:rsidRPr="00A11265">
              <w:rPr>
                <w:rFonts w:cs="Arial"/>
              </w:rPr>
              <w:t>variable costs over the life of the plant (including fuel)</w:t>
            </w:r>
          </w:p>
          <w:p w14:paraId="13F8E311" w14:textId="0C2C710A" w:rsidR="00D540C0" w:rsidRPr="00A11265" w:rsidRDefault="00D540C0" w:rsidP="001F613E">
            <w:pPr>
              <w:pStyle w:val="ListParagraph"/>
              <w:numPr>
                <w:ilvl w:val="0"/>
                <w:numId w:val="11"/>
              </w:numPr>
              <w:spacing w:before="200"/>
              <w:ind w:left="426"/>
              <w:rPr>
                <w:rFonts w:cs="Arial"/>
              </w:rPr>
            </w:pPr>
            <w:proofErr w:type="gramStart"/>
            <w:r w:rsidRPr="00A11265">
              <w:rPr>
                <w:rFonts w:cs="Arial"/>
              </w:rPr>
              <w:t>tax</w:t>
            </w:r>
            <w:proofErr w:type="gramEnd"/>
            <w:r w:rsidRPr="00A11265">
              <w:rPr>
                <w:rFonts w:cs="Arial"/>
              </w:rPr>
              <w:t xml:space="preserve"> costs (if using a post-tax discount rate).</w:t>
            </w:r>
          </w:p>
          <w:p w14:paraId="4E2BC45D" w14:textId="77777777" w:rsidR="00D540C0" w:rsidRPr="00A11265" w:rsidRDefault="00D540C0" w:rsidP="00D9724C">
            <w:pPr>
              <w:rPr>
                <w:rFonts w:asciiTheme="minorHAnsi" w:hAnsiTheme="minorHAnsi" w:cs="Arial"/>
              </w:rPr>
            </w:pPr>
            <w:r w:rsidRPr="00A11265">
              <w:rPr>
                <w:rFonts w:asciiTheme="minorHAnsi" w:hAnsiTheme="minorHAnsi" w:cs="Arial"/>
              </w:rPr>
              <w:t>The LRMC is the average cost over the long term of supplying incremental service requirements.</w:t>
            </w:r>
          </w:p>
          <w:p w14:paraId="0018FEAD" w14:textId="77777777" w:rsidR="00D540C0" w:rsidRPr="00A11265" w:rsidRDefault="00D540C0" w:rsidP="00D9724C">
            <w:pPr>
              <w:rPr>
                <w:rFonts w:asciiTheme="minorHAnsi" w:hAnsiTheme="minorHAnsi" w:cs="Arial"/>
              </w:rPr>
            </w:pPr>
            <w:r w:rsidRPr="00A11265">
              <w:rPr>
                <w:rFonts w:asciiTheme="minorHAnsi" w:hAnsiTheme="minorHAnsi" w:cs="Arial"/>
              </w:rPr>
              <w:t>There are two approaches to estimating the LRMC:</w:t>
            </w:r>
          </w:p>
          <w:p w14:paraId="59EEF2FC" w14:textId="0C965890" w:rsidR="00D540C0" w:rsidRPr="00A11265" w:rsidRDefault="00D540C0" w:rsidP="001F613E">
            <w:pPr>
              <w:pStyle w:val="ListParagraph"/>
              <w:numPr>
                <w:ilvl w:val="0"/>
                <w:numId w:val="11"/>
              </w:numPr>
              <w:spacing w:before="200"/>
              <w:ind w:left="426"/>
              <w:rPr>
                <w:rFonts w:cs="Arial"/>
              </w:rPr>
            </w:pPr>
            <w:r w:rsidRPr="00A11265">
              <w:rPr>
                <w:rFonts w:cs="Arial"/>
              </w:rPr>
              <w:t xml:space="preserve">A </w:t>
            </w:r>
            <w:r w:rsidRPr="00A11265">
              <w:rPr>
                <w:rFonts w:cs="Arial"/>
                <w:b/>
              </w:rPr>
              <w:t>standalone</w:t>
            </w:r>
            <w:r w:rsidRPr="00A11265">
              <w:rPr>
                <w:rFonts w:cs="Arial"/>
              </w:rPr>
              <w:t xml:space="preserve"> or </w:t>
            </w:r>
            <w:proofErr w:type="gramStart"/>
            <w:r w:rsidRPr="00A11265">
              <w:rPr>
                <w:rFonts w:cs="Arial"/>
                <w:b/>
              </w:rPr>
              <w:t>greenfield</w:t>
            </w:r>
            <w:proofErr w:type="gramEnd"/>
            <w:r w:rsidRPr="00A11265">
              <w:rPr>
                <w:rFonts w:cs="Arial"/>
              </w:rPr>
              <w:t xml:space="preserve"> approach, which assumes that there is currently no plant to provide the required service. The approach theoretically builds, and prices, a whole new system that is least</w:t>
            </w:r>
            <w:r w:rsidR="004B77A5">
              <w:rPr>
                <w:rFonts w:cs="Arial"/>
              </w:rPr>
              <w:noBreakHyphen/>
            </w:r>
            <w:r w:rsidRPr="00A11265">
              <w:rPr>
                <w:rFonts w:cs="Arial"/>
              </w:rPr>
              <w:t>cost. In effect, it re-prices all existing plant at efficient levels and includes the capital costs of new plant in the LRMC estimate.</w:t>
            </w:r>
          </w:p>
          <w:p w14:paraId="3EEC99F8" w14:textId="646984AA" w:rsidR="00D540C0" w:rsidRPr="00A11265" w:rsidRDefault="00D540C0" w:rsidP="001F613E">
            <w:pPr>
              <w:pStyle w:val="ListParagraph"/>
              <w:numPr>
                <w:ilvl w:val="0"/>
                <w:numId w:val="11"/>
              </w:numPr>
              <w:spacing w:before="200"/>
              <w:ind w:left="426"/>
              <w:rPr>
                <w:rFonts w:cs="Arial"/>
              </w:rPr>
            </w:pPr>
            <w:r w:rsidRPr="00A11265">
              <w:rPr>
                <w:rFonts w:cs="Arial"/>
              </w:rPr>
              <w:t xml:space="preserve">An </w:t>
            </w:r>
            <w:r w:rsidRPr="00A11265">
              <w:rPr>
                <w:rFonts w:cs="Arial"/>
                <w:b/>
              </w:rPr>
              <w:t>incremental</w:t>
            </w:r>
            <w:r w:rsidRPr="00A11265">
              <w:rPr>
                <w:rFonts w:cs="Arial"/>
              </w:rPr>
              <w:t xml:space="preserve"> approach, which assumes that the existing mix of plant in the system is in place and that the required service can be provided using both existing plant and new plant. This approach prices services on the basis of the least-cost way of adding to the existing stock of plant and does not factor in the capital costs of existing plant as this is assumed to be sunk.</w:t>
            </w:r>
          </w:p>
          <w:p w14:paraId="15DBA034" w14:textId="7ED05537" w:rsidR="00D540C0" w:rsidRPr="00A11265" w:rsidRDefault="00D540C0" w:rsidP="00D9724C">
            <w:pPr>
              <w:rPr>
                <w:rFonts w:asciiTheme="minorHAnsi" w:hAnsiTheme="minorHAnsi" w:cs="Arial"/>
              </w:rPr>
            </w:pPr>
            <w:r w:rsidRPr="00A11265">
              <w:rPr>
                <w:rFonts w:asciiTheme="minorHAnsi" w:hAnsiTheme="minorHAnsi" w:cs="Arial"/>
              </w:rPr>
              <w:t>The standalone or greenfield approach is generally used for estimating the LRMC for regulatory purposes. The incremental approach results in a very low LRMC (more related to the short</w:t>
            </w:r>
            <w:r w:rsidR="004B77A5">
              <w:rPr>
                <w:rFonts w:asciiTheme="minorHAnsi" w:hAnsiTheme="minorHAnsi" w:cs="Arial"/>
              </w:rPr>
              <w:noBreakHyphen/>
            </w:r>
            <w:r w:rsidRPr="00A11265">
              <w:rPr>
                <w:rFonts w:asciiTheme="minorHAnsi" w:hAnsiTheme="minorHAnsi" w:cs="Arial"/>
              </w:rPr>
              <w:t>run marginal cost) unless new plant is immediately required.</w:t>
            </w:r>
          </w:p>
          <w:p w14:paraId="7B24FD27" w14:textId="259DADF4" w:rsidR="00D540C0" w:rsidRPr="00A11265" w:rsidRDefault="00D540C0" w:rsidP="00D9724C">
            <w:pPr>
              <w:rPr>
                <w:rFonts w:asciiTheme="minorHAnsi" w:hAnsiTheme="minorHAnsi" w:cs="Arial"/>
              </w:rPr>
            </w:pPr>
            <w:r w:rsidRPr="00A11265">
              <w:rPr>
                <w:rFonts w:asciiTheme="minorHAnsi" w:hAnsiTheme="minorHAnsi" w:cs="Arial"/>
              </w:rPr>
              <w:t xml:space="preserve">In a competitive market, the price outcomes will align with the LRMC over the long-term. If the price outcomes were lower than the LRMC over the long term, service providers would not be viable. If the </w:t>
            </w:r>
            <w:r w:rsidRPr="00A11265">
              <w:rPr>
                <w:rFonts w:asciiTheme="minorHAnsi" w:hAnsiTheme="minorHAnsi" w:cs="Arial"/>
              </w:rPr>
              <w:lastRenderedPageBreak/>
              <w:t>market is competitive then the price outcomes will not be higher than the LRMC values over the long term.</w:t>
            </w:r>
          </w:p>
        </w:tc>
      </w:tr>
    </w:tbl>
    <w:p w14:paraId="0FDA09CD" w14:textId="77777777" w:rsidR="00074AE4" w:rsidRPr="00A11265" w:rsidRDefault="00074AE4" w:rsidP="00D540C0">
      <w:pPr>
        <w:rPr>
          <w:rFonts w:asciiTheme="minorHAnsi" w:hAnsiTheme="minorHAnsi" w:cs="Arial"/>
        </w:rPr>
      </w:pPr>
    </w:p>
    <w:p w14:paraId="631C33E6" w14:textId="57270AE6" w:rsidR="00D540C0" w:rsidRPr="00A11265" w:rsidRDefault="00D540C0" w:rsidP="00D540C0">
      <w:pPr>
        <w:rPr>
          <w:rFonts w:asciiTheme="minorHAnsi" w:hAnsiTheme="minorHAnsi" w:cs="Arial"/>
        </w:rPr>
      </w:pPr>
      <w:r w:rsidRPr="00A11265">
        <w:rPr>
          <w:rFonts w:asciiTheme="minorHAnsi" w:hAnsiTheme="minorHAnsi" w:cs="Arial"/>
        </w:rPr>
        <w:t>In the short term, the actual cost of providing services may be lower than the LRMC, depending on how the LRMC is calculated and whether the services are provided by older plant that has already been depreciated over a number of years. However, if the actual cost is less than the LRMC and administered prices are set based on the actual cost of providing services, competition may be stifled in the short term, which may lead to higher prices in the longer term. Competition will be facilitated in the longer term if administered prices are set based on LRMC, but customers will pay more than they would otherwise and providers may earn windfall gains.</w:t>
      </w:r>
    </w:p>
    <w:p w14:paraId="4BFFE56E" w14:textId="10227AFE" w:rsidR="00D540C0" w:rsidRPr="00A11265" w:rsidRDefault="00D540C0" w:rsidP="00D540C0">
      <w:pPr>
        <w:rPr>
          <w:rFonts w:asciiTheme="minorHAnsi" w:hAnsiTheme="minorHAnsi" w:cs="Arial"/>
        </w:rPr>
      </w:pPr>
      <w:r w:rsidRPr="00A11265">
        <w:rPr>
          <w:rFonts w:asciiTheme="minorHAnsi" w:hAnsiTheme="minorHAnsi" w:cs="Arial"/>
        </w:rPr>
        <w:t xml:space="preserve">As new technologies for providing </w:t>
      </w:r>
      <w:r w:rsidR="00293D77" w:rsidRPr="00A11265">
        <w:rPr>
          <w:rFonts w:asciiTheme="minorHAnsi" w:hAnsiTheme="minorHAnsi" w:cs="Arial"/>
        </w:rPr>
        <w:t>essential system services</w:t>
      </w:r>
      <w:r w:rsidRPr="00A11265">
        <w:rPr>
          <w:rFonts w:asciiTheme="minorHAnsi" w:hAnsiTheme="minorHAnsi" w:cs="Arial"/>
        </w:rPr>
        <w:t xml:space="preserve"> enter the m</w:t>
      </w:r>
      <w:r w:rsidR="004B6B4C" w:rsidRPr="00A11265">
        <w:rPr>
          <w:rFonts w:asciiTheme="minorHAnsi" w:hAnsiTheme="minorHAnsi" w:cs="Arial"/>
        </w:rPr>
        <w:t>arket, the LRMC of providing essential system services</w:t>
      </w:r>
      <w:r w:rsidRPr="00A11265">
        <w:rPr>
          <w:rFonts w:asciiTheme="minorHAnsi" w:hAnsiTheme="minorHAnsi" w:cs="Arial"/>
        </w:rPr>
        <w:t xml:space="preserve"> may decrease below T-Ge</w:t>
      </w:r>
      <w:r w:rsidR="004B6B4C" w:rsidRPr="00A11265">
        <w:rPr>
          <w:rFonts w:asciiTheme="minorHAnsi" w:hAnsiTheme="minorHAnsi" w:cs="Arial"/>
        </w:rPr>
        <w:t>n’s actual cost of providing essential system services</w:t>
      </w:r>
      <w:r w:rsidRPr="00A11265">
        <w:rPr>
          <w:rFonts w:asciiTheme="minorHAnsi" w:hAnsiTheme="minorHAnsi" w:cs="Arial"/>
        </w:rPr>
        <w:t>. If T-Gen continues to provide some of those services and is paid the LRMC, it m</w:t>
      </w:r>
      <w:r w:rsidR="00074AE4" w:rsidRPr="00A11265">
        <w:rPr>
          <w:rFonts w:asciiTheme="minorHAnsi" w:hAnsiTheme="minorHAnsi" w:cs="Arial"/>
        </w:rPr>
        <w:t>ay incur losses in providing essential system services</w:t>
      </w:r>
      <w:r w:rsidRPr="00A11265">
        <w:rPr>
          <w:rFonts w:asciiTheme="minorHAnsi" w:hAnsiTheme="minorHAnsi" w:cs="Arial"/>
        </w:rPr>
        <w:t xml:space="preserve"> with those losses ultimately paid for by the </w:t>
      </w:r>
      <w:r w:rsidR="001A1CC9" w:rsidRPr="00A11265">
        <w:rPr>
          <w:rFonts w:asciiTheme="minorHAnsi" w:hAnsiTheme="minorHAnsi" w:cs="Arial"/>
        </w:rPr>
        <w:t>NT’</w:t>
      </w:r>
      <w:r w:rsidRPr="00A11265">
        <w:rPr>
          <w:rFonts w:asciiTheme="minorHAnsi" w:hAnsiTheme="minorHAnsi" w:cs="Arial"/>
        </w:rPr>
        <w:t>s taxpayers. If it is paid the actual cost, customers will pay more than they otherwise would.</w:t>
      </w:r>
    </w:p>
    <w:p w14:paraId="331195DD" w14:textId="17A39CC3" w:rsidR="00D540C0" w:rsidRPr="00A11265" w:rsidRDefault="00D540C0" w:rsidP="00D540C0">
      <w:pPr>
        <w:rPr>
          <w:rFonts w:asciiTheme="minorHAnsi" w:hAnsiTheme="minorHAnsi" w:cs="Arial"/>
        </w:rPr>
      </w:pPr>
      <w:r w:rsidRPr="00A11265">
        <w:rPr>
          <w:rFonts w:asciiTheme="minorHAnsi" w:hAnsiTheme="minorHAnsi" w:cs="Arial"/>
        </w:rPr>
        <w:t>Services will be provided more efficiently if administered prices are set for each service and for each regulated system rather than setting an administered price for a bundle of services.</w:t>
      </w:r>
    </w:p>
    <w:p w14:paraId="7AC1A62D" w14:textId="6B8F928C" w:rsidR="0060475C" w:rsidRPr="00A11265" w:rsidRDefault="0060475C" w:rsidP="00F10663">
      <w:pPr>
        <w:keepNext/>
        <w:rPr>
          <w:rFonts w:asciiTheme="minorHAnsi" w:hAnsiTheme="minorHAnsi" w:cs="Arial"/>
          <w:i/>
        </w:rPr>
      </w:pPr>
      <w:r w:rsidRPr="00A11265">
        <w:rPr>
          <w:rFonts w:asciiTheme="minorHAnsi" w:hAnsiTheme="minorHAnsi" w:cs="Arial"/>
          <w:i/>
        </w:rPr>
        <w:t>Constraints on offer prices</w:t>
      </w:r>
    </w:p>
    <w:p w14:paraId="44AEFE26" w14:textId="43E0130C" w:rsidR="00D540C0" w:rsidRPr="00A11265" w:rsidRDefault="00D540C0" w:rsidP="00D540C0">
      <w:pPr>
        <w:rPr>
          <w:rFonts w:asciiTheme="minorHAnsi" w:hAnsiTheme="minorHAnsi" w:cs="Arial"/>
        </w:rPr>
      </w:pPr>
      <w:r w:rsidRPr="00A11265">
        <w:rPr>
          <w:rFonts w:asciiTheme="minorHAnsi" w:hAnsiTheme="minorHAnsi" w:cs="Arial"/>
        </w:rPr>
        <w:t>Similarly, if constraints are placed on offer prices based on LRMC rather than the actual costs of providing services, services will be provided more efficiently in the longer term, and will be more efficient if the constraints are placed on the price of each service in each regulated system rather than a constraint on a bundled service. However, in the case of constraints placed on offer prices, there is the potential for proponents to bid lower than the constraint price rather than to have an administered price imposed. This will lead to a more efficient outcome in the shorter term than administered pricing.</w:t>
      </w:r>
    </w:p>
    <w:p w14:paraId="06477DD8" w14:textId="78E70D62" w:rsidR="0060475C" w:rsidRPr="00A11265" w:rsidRDefault="0060475C" w:rsidP="00F10663">
      <w:pPr>
        <w:keepNext/>
        <w:rPr>
          <w:rFonts w:asciiTheme="minorHAnsi" w:hAnsiTheme="minorHAnsi" w:cs="Arial"/>
          <w:i/>
        </w:rPr>
      </w:pPr>
      <w:r w:rsidRPr="00A11265">
        <w:rPr>
          <w:rFonts w:asciiTheme="minorHAnsi" w:hAnsiTheme="minorHAnsi" w:cs="Arial"/>
          <w:i/>
        </w:rPr>
        <w:t>Limit on revenue</w:t>
      </w:r>
    </w:p>
    <w:p w14:paraId="0858E0DC" w14:textId="754E41CB" w:rsidR="00D540C0" w:rsidRPr="00A11265" w:rsidRDefault="00D540C0" w:rsidP="00D540C0">
      <w:pPr>
        <w:rPr>
          <w:rFonts w:asciiTheme="minorHAnsi" w:hAnsiTheme="minorHAnsi" w:cs="Arial"/>
        </w:rPr>
      </w:pPr>
      <w:r w:rsidRPr="00A11265">
        <w:rPr>
          <w:rFonts w:asciiTheme="minorHAnsi" w:hAnsiTheme="minorHAnsi" w:cs="Arial"/>
        </w:rPr>
        <w:t>While some of the cos</w:t>
      </w:r>
      <w:r w:rsidR="0060475C" w:rsidRPr="00A11265">
        <w:rPr>
          <w:rFonts w:asciiTheme="minorHAnsi" w:hAnsiTheme="minorHAnsi" w:cs="Arial"/>
        </w:rPr>
        <w:t>ts associated with providing essential system services</w:t>
      </w:r>
      <w:r w:rsidRPr="00A11265">
        <w:rPr>
          <w:rFonts w:asciiTheme="minorHAnsi" w:hAnsiTheme="minorHAnsi" w:cs="Arial"/>
        </w:rPr>
        <w:t xml:space="preserve"> are fixed in nature, others are variable in nature. The revenue derived from those services for which the costs are variable in nature will be a function of the price and volume. A limit on revenue will therefore need to consider both the price and the volume of services.</w:t>
      </w:r>
    </w:p>
    <w:p w14:paraId="54B6FE5C" w14:textId="15D52A6F" w:rsidR="00D540C0" w:rsidRPr="00A11265" w:rsidRDefault="00D540C0" w:rsidP="00D540C0">
      <w:pPr>
        <w:rPr>
          <w:rFonts w:asciiTheme="minorHAnsi" w:hAnsiTheme="minorHAnsi" w:cs="Arial"/>
        </w:rPr>
      </w:pPr>
      <w:r w:rsidRPr="00A11265">
        <w:rPr>
          <w:rFonts w:asciiTheme="minorHAnsi" w:hAnsiTheme="minorHAnsi" w:cs="Arial"/>
        </w:rPr>
        <w:t>The price that is factored into a revenue limit could be based on the actual cost of providing services or the LRMC, as discussed above. To facilitate competition and the efficient provision of services in the longer term, the price would need to be set based on LRMC rather than the actual cost of providing services. However, if the LRMC is higher than the actual cost, this could result in a revenue limit that is substantially higher than the actual cost of providing services in the short term and windfall gains for the provider.</w:t>
      </w:r>
    </w:p>
    <w:p w14:paraId="0B48F03C" w14:textId="14008B5D" w:rsidR="00D540C0" w:rsidRPr="00A11265" w:rsidRDefault="00D540C0" w:rsidP="00D540C0">
      <w:pPr>
        <w:rPr>
          <w:rFonts w:asciiTheme="minorHAnsi" w:hAnsiTheme="minorHAnsi" w:cs="Arial"/>
        </w:rPr>
      </w:pPr>
      <w:r w:rsidRPr="00A11265">
        <w:rPr>
          <w:rFonts w:asciiTheme="minorHAnsi" w:hAnsiTheme="minorHAnsi" w:cs="Arial"/>
        </w:rPr>
        <w:t>In addition, any consideration of a revenue limit would also need to consider the volume of services, which will vary from year to year and will vary over time as the generation mix changes. If the revenue limit is based on a volume of services that is too low, it may constrain the provision of services below those required. If the revenue limit is based on a volume of services that is too high, it will have no practical effect.</w:t>
      </w:r>
    </w:p>
    <w:p w14:paraId="73EF1A3E" w14:textId="35B68CA9" w:rsidR="0060475C" w:rsidRPr="00A11265" w:rsidRDefault="0060475C" w:rsidP="00F10663">
      <w:pPr>
        <w:keepNext/>
        <w:rPr>
          <w:rFonts w:asciiTheme="minorHAnsi" w:hAnsiTheme="minorHAnsi" w:cs="Arial"/>
          <w:i/>
        </w:rPr>
      </w:pPr>
      <w:r w:rsidRPr="00A11265">
        <w:rPr>
          <w:rFonts w:asciiTheme="minorHAnsi" w:hAnsiTheme="minorHAnsi" w:cs="Arial"/>
          <w:i/>
        </w:rPr>
        <w:t>Default provider</w:t>
      </w:r>
    </w:p>
    <w:p w14:paraId="0834D4FD" w14:textId="77777777" w:rsidR="00D540C0" w:rsidRPr="00A11265" w:rsidRDefault="00D540C0" w:rsidP="00D540C0">
      <w:pPr>
        <w:rPr>
          <w:rFonts w:asciiTheme="minorHAnsi" w:hAnsiTheme="minorHAnsi" w:cs="Arial"/>
        </w:rPr>
      </w:pPr>
      <w:r w:rsidRPr="00A11265">
        <w:rPr>
          <w:rFonts w:asciiTheme="minorHAnsi" w:hAnsiTheme="minorHAnsi" w:cs="Arial"/>
        </w:rPr>
        <w:t>Placing an obligation to supply on a default provider may not facilitate the efficient provision of services over the longer term, more so if there is one default provider for all services.</w:t>
      </w:r>
    </w:p>
    <w:p w14:paraId="21D594DB" w14:textId="2DC994BB" w:rsidR="001A1CC9" w:rsidRPr="00A11265" w:rsidRDefault="00D540C0" w:rsidP="00B4316C">
      <w:pPr>
        <w:rPr>
          <w:rFonts w:asciiTheme="minorHAnsi" w:hAnsiTheme="minorHAnsi" w:cs="Arial"/>
        </w:rPr>
      </w:pPr>
      <w:r w:rsidRPr="00A11265">
        <w:rPr>
          <w:rFonts w:asciiTheme="minorHAnsi" w:hAnsiTheme="minorHAnsi" w:cs="Arial"/>
        </w:rPr>
        <w:lastRenderedPageBreak/>
        <w:t xml:space="preserve">The price of </w:t>
      </w:r>
      <w:r w:rsidR="001A1CC9" w:rsidRPr="00A11265">
        <w:rPr>
          <w:rFonts w:asciiTheme="minorHAnsi" w:hAnsiTheme="minorHAnsi" w:cs="Arial"/>
        </w:rPr>
        <w:t>essential system services</w:t>
      </w:r>
      <w:r w:rsidRPr="00A11265">
        <w:rPr>
          <w:rFonts w:asciiTheme="minorHAnsi" w:hAnsiTheme="minorHAnsi" w:cs="Arial"/>
        </w:rPr>
        <w:t xml:space="preserve"> under a default provider arrangement could be the actual cost or LRMC. As the default provider arrangement will not facilitate a competitive market, the price need not be set at LRMC to incentivise new market entrants.</w:t>
      </w:r>
    </w:p>
    <w:p w14:paraId="1716F1FA" w14:textId="37DB2051" w:rsidR="00B4316C" w:rsidRPr="00A11265" w:rsidRDefault="00D540C0" w:rsidP="00B4316C">
      <w:pPr>
        <w:rPr>
          <w:rFonts w:asciiTheme="minorHAnsi" w:hAnsiTheme="minorHAnsi" w:cs="Arial"/>
        </w:rPr>
      </w:pPr>
      <w:r w:rsidRPr="00A11265">
        <w:rPr>
          <w:rFonts w:asciiTheme="minorHAnsi" w:hAnsiTheme="minorHAnsi" w:cs="Arial"/>
        </w:rPr>
        <w:t xml:space="preserve">If the price is set at the LRMC and the actual cost is less than the LRMC, the service providers will get a windfall gain and customers will pay more than they would otherwise. If the actual price is more than the LRMC, then no providers other than T-Gen would provide the services. T-Gen would incur losses with those losses paid for by the </w:t>
      </w:r>
      <w:r w:rsidR="001A1CC9" w:rsidRPr="00A11265">
        <w:rPr>
          <w:rFonts w:asciiTheme="minorHAnsi" w:hAnsiTheme="minorHAnsi" w:cs="Arial"/>
        </w:rPr>
        <w:t>NT</w:t>
      </w:r>
      <w:r w:rsidRPr="00A11265">
        <w:rPr>
          <w:rFonts w:asciiTheme="minorHAnsi" w:hAnsiTheme="minorHAnsi" w:cs="Arial"/>
        </w:rPr>
        <w:t>’s taxpayers.</w:t>
      </w:r>
    </w:p>
    <w:p w14:paraId="3D0B8324" w14:textId="6505455F" w:rsidR="00D540C0" w:rsidRPr="00A11265" w:rsidRDefault="00D540C0" w:rsidP="00D24B1D">
      <w:pPr>
        <w:pStyle w:val="Heading4"/>
      </w:pPr>
      <w:r w:rsidRPr="00A11265">
        <w:t>Administrative costs</w:t>
      </w:r>
    </w:p>
    <w:p w14:paraId="6B8C02CA" w14:textId="77777777" w:rsidR="00D540C0" w:rsidRPr="00A11265" w:rsidRDefault="00D540C0" w:rsidP="00D540C0">
      <w:pPr>
        <w:rPr>
          <w:rFonts w:asciiTheme="minorHAnsi" w:hAnsiTheme="minorHAnsi" w:cs="Arial"/>
        </w:rPr>
      </w:pPr>
      <w:r w:rsidRPr="00A11265">
        <w:rPr>
          <w:rFonts w:asciiTheme="minorHAnsi" w:hAnsiTheme="minorHAnsi" w:cs="Arial"/>
        </w:rPr>
        <w:t>Estimating the LRMC for each service is complex. If administered prices are set or there are constraints on offer prices, there are the upfront costs associated with determining the prices and to codify them. Similarly, if there is a default provider, there are the upfront costs to set up these arrangements.</w:t>
      </w:r>
    </w:p>
    <w:p w14:paraId="4D014395" w14:textId="19621512" w:rsidR="00B4316C" w:rsidRPr="00A11265" w:rsidRDefault="00D540C0" w:rsidP="00D540C0">
      <w:pPr>
        <w:rPr>
          <w:rFonts w:asciiTheme="minorHAnsi" w:hAnsiTheme="minorHAnsi" w:cs="Arial"/>
        </w:rPr>
      </w:pPr>
      <w:r w:rsidRPr="00A11265">
        <w:rPr>
          <w:rFonts w:asciiTheme="minorHAnsi" w:hAnsiTheme="minorHAnsi" w:cs="Arial"/>
        </w:rPr>
        <w:t>The upfront costs associated with determining a revenue limit would be higher than for setting an administered price or constraints on offer prices because the volume of services needs to be considered in addition to the unit cost of providing services. In addition, there would be the ongoing costs to monitor the revenue earned relative to the revenue limit.</w:t>
      </w:r>
      <w:r w:rsidR="000A4C5A" w:rsidRPr="00A11265">
        <w:rPr>
          <w:rFonts w:asciiTheme="minorHAnsi" w:hAnsiTheme="minorHAnsi" w:cs="Arial"/>
        </w:rPr>
        <w:t xml:space="preserve"> A</w:t>
      </w:r>
      <w:r w:rsidR="001913B5">
        <w:rPr>
          <w:rFonts w:asciiTheme="minorHAnsi" w:hAnsiTheme="minorHAnsi" w:cs="Arial"/>
        </w:rPr>
        <w:t>CIL</w:t>
      </w:r>
      <w:r w:rsidR="000A4C5A" w:rsidRPr="00A11265">
        <w:rPr>
          <w:rFonts w:asciiTheme="minorHAnsi" w:hAnsiTheme="minorHAnsi" w:cs="Arial"/>
        </w:rPr>
        <w:t xml:space="preserve"> Allen has estimated a revenue limit arrangement would cost equivalent to an additional 0.25 </w:t>
      </w:r>
      <w:r w:rsidR="0091758D">
        <w:rPr>
          <w:rFonts w:asciiTheme="minorHAnsi" w:hAnsiTheme="minorHAnsi" w:cs="Arial"/>
        </w:rPr>
        <w:t>full time employees (</w:t>
      </w:r>
      <w:r w:rsidR="000A4C5A" w:rsidRPr="00A11265">
        <w:rPr>
          <w:rFonts w:asciiTheme="minorHAnsi" w:hAnsiTheme="minorHAnsi" w:cs="Arial"/>
        </w:rPr>
        <w:t>FTE</w:t>
      </w:r>
      <w:r w:rsidR="0091758D">
        <w:rPr>
          <w:rFonts w:asciiTheme="minorHAnsi" w:hAnsiTheme="minorHAnsi" w:cs="Arial"/>
        </w:rPr>
        <w:t>)</w:t>
      </w:r>
      <w:r w:rsidR="000A4C5A" w:rsidRPr="00A11265">
        <w:rPr>
          <w:rFonts w:asciiTheme="minorHAnsi" w:hAnsiTheme="minorHAnsi" w:cs="Arial"/>
        </w:rPr>
        <w:t xml:space="preserve"> to the service provision framework cost estimates in </w:t>
      </w:r>
      <w:r w:rsidR="00F10663" w:rsidRPr="00A11265">
        <w:rPr>
          <w:rFonts w:asciiTheme="minorHAnsi" w:hAnsiTheme="minorHAnsi" w:cs="Arial"/>
        </w:rPr>
        <w:t>Table 4-2</w:t>
      </w:r>
      <w:r w:rsidR="000A4C5A" w:rsidRPr="00A11265">
        <w:rPr>
          <w:rFonts w:asciiTheme="minorHAnsi" w:hAnsiTheme="minorHAnsi" w:cs="Arial"/>
        </w:rPr>
        <w:t>.</w:t>
      </w:r>
    </w:p>
    <w:p w14:paraId="1D962F8F" w14:textId="2442F7F1" w:rsidR="00964B0F" w:rsidRPr="00A11265" w:rsidRDefault="00964B0F" w:rsidP="00D9724C">
      <w:pPr>
        <w:pStyle w:val="Heading2"/>
        <w:keepNext/>
        <w:rPr>
          <w:lang w:eastAsia="en-AU"/>
        </w:rPr>
      </w:pPr>
      <w:bookmarkStart w:id="190" w:name="_Toc61956207"/>
      <w:r w:rsidRPr="00A11265">
        <w:rPr>
          <w:lang w:eastAsia="en-AU"/>
        </w:rPr>
        <w:t>Draft position</w:t>
      </w:r>
      <w:bookmarkEnd w:id="190"/>
    </w:p>
    <w:p w14:paraId="1D2F9587" w14:textId="77777777" w:rsidR="00E83FC4" w:rsidRPr="00A11265" w:rsidRDefault="00E83FC4" w:rsidP="00E83FC4">
      <w:pPr>
        <w:rPr>
          <w:rFonts w:asciiTheme="minorHAnsi" w:hAnsiTheme="minorHAnsi" w:cs="Arial"/>
        </w:rPr>
      </w:pPr>
      <w:r w:rsidRPr="00A11265">
        <w:rPr>
          <w:rFonts w:asciiTheme="minorHAnsi" w:hAnsiTheme="minorHAnsi" w:cs="Arial"/>
        </w:rPr>
        <w:t>Under the scope of this Review, there is a need to address administered pricing for the provision of essential system services by T-Gen under the current monopoly provision arrangements, and market power mitigation arrangements appropriate under a competitive provision framework.</w:t>
      </w:r>
    </w:p>
    <w:p w14:paraId="45880EEB" w14:textId="77777777" w:rsidR="00E83FC4" w:rsidRPr="00A11265" w:rsidRDefault="00E83FC4" w:rsidP="00D24B1D">
      <w:pPr>
        <w:pStyle w:val="Heading4"/>
      </w:pPr>
      <w:r w:rsidRPr="00A11265">
        <w:t>Monopoly provision</w:t>
      </w:r>
    </w:p>
    <w:p w14:paraId="0FB13407" w14:textId="77777777" w:rsidR="00E83FC4" w:rsidRPr="00A11265" w:rsidRDefault="00E83FC4" w:rsidP="00E83FC4">
      <w:pPr>
        <w:rPr>
          <w:rFonts w:asciiTheme="minorHAnsi" w:hAnsiTheme="minorHAnsi" w:cs="Arial"/>
        </w:rPr>
      </w:pPr>
      <w:r w:rsidRPr="00A11265">
        <w:rPr>
          <w:rFonts w:asciiTheme="minorHAnsi" w:hAnsiTheme="minorHAnsi" w:cs="Arial"/>
        </w:rPr>
        <w:t>Under the current arrangements for the monopoly provision of essential system service by T-Gen, an administered price is necessary because there is no market to determine prices for essential system services.</w:t>
      </w:r>
    </w:p>
    <w:p w14:paraId="1C259E2D" w14:textId="78403ABB" w:rsidR="00E83FC4" w:rsidRPr="00A11265" w:rsidRDefault="00E83FC4" w:rsidP="00E83FC4">
      <w:pPr>
        <w:rPr>
          <w:rFonts w:asciiTheme="minorHAnsi" w:hAnsiTheme="minorHAnsi" w:cs="Arial"/>
        </w:rPr>
      </w:pPr>
      <w:r w:rsidRPr="00A11265">
        <w:rPr>
          <w:rFonts w:asciiTheme="minorHAnsi" w:hAnsiTheme="minorHAnsi" w:cs="Arial"/>
        </w:rPr>
        <w:t>A codified process should be established to ensure that the administered prices received by T-Gen as the default provider for each essential service it provides continue to reflect the actual costs of providing the services over time.</w:t>
      </w:r>
    </w:p>
    <w:p w14:paraId="6A31EF93" w14:textId="77777777" w:rsidR="00E83FC4" w:rsidRPr="00A11265" w:rsidRDefault="00E83FC4" w:rsidP="00E83FC4">
      <w:pPr>
        <w:rPr>
          <w:rFonts w:asciiTheme="minorHAnsi" w:hAnsiTheme="minorHAnsi" w:cs="Arial"/>
        </w:rPr>
      </w:pPr>
      <w:r w:rsidRPr="00A11265">
        <w:rPr>
          <w:rFonts w:asciiTheme="minorHAnsi" w:hAnsiTheme="minorHAnsi" w:cs="Arial"/>
        </w:rPr>
        <w:t>This process should require, on an annual basis for the coming financial year:</w:t>
      </w:r>
    </w:p>
    <w:p w14:paraId="18C0C255" w14:textId="62CF1134" w:rsidR="00E83FC4" w:rsidRPr="00A11265" w:rsidRDefault="00E83FC4" w:rsidP="00E83FC4">
      <w:pPr>
        <w:pStyle w:val="ListParagraph"/>
        <w:numPr>
          <w:ilvl w:val="0"/>
          <w:numId w:val="19"/>
        </w:numPr>
        <w:rPr>
          <w:rFonts w:asciiTheme="minorHAnsi" w:hAnsiTheme="minorHAnsi" w:cs="Arial"/>
        </w:rPr>
      </w:pPr>
      <w:r w:rsidRPr="00A11265">
        <w:rPr>
          <w:rFonts w:asciiTheme="minorHAnsi" w:hAnsiTheme="minorHAnsi" w:cs="Arial"/>
        </w:rPr>
        <w:t>the System Controller providing a draft Essential System Services Plan to T-Gen, including draft updated essential system service standards for each of the NT regulated systems and forecast requirements to meet those standards</w:t>
      </w:r>
    </w:p>
    <w:p w14:paraId="35EBE7E2" w14:textId="531A01A8" w:rsidR="00E83FC4" w:rsidRPr="00A11265" w:rsidRDefault="00E83FC4" w:rsidP="00E83FC4">
      <w:pPr>
        <w:pStyle w:val="ListParagraph"/>
        <w:numPr>
          <w:ilvl w:val="0"/>
          <w:numId w:val="19"/>
        </w:numPr>
        <w:rPr>
          <w:rFonts w:asciiTheme="minorHAnsi" w:hAnsiTheme="minorHAnsi" w:cs="Arial"/>
        </w:rPr>
      </w:pPr>
      <w:r w:rsidRPr="00A11265">
        <w:rPr>
          <w:rFonts w:asciiTheme="minorHAnsi" w:hAnsiTheme="minorHAnsi" w:cs="Arial"/>
        </w:rPr>
        <w:t>based on the draft Essential System Services Plan, T-Gen providing the System Controller updated auditable actual estimated costs for each of the essential system services required, including unit variable, enablement and fixed costs</w:t>
      </w:r>
    </w:p>
    <w:p w14:paraId="362B9B00" w14:textId="77777777" w:rsidR="00E83FC4" w:rsidRPr="00A11265" w:rsidRDefault="00E83FC4" w:rsidP="00E83FC4">
      <w:pPr>
        <w:pStyle w:val="ListParagraph"/>
        <w:numPr>
          <w:ilvl w:val="0"/>
          <w:numId w:val="19"/>
        </w:numPr>
        <w:rPr>
          <w:rFonts w:asciiTheme="minorHAnsi" w:hAnsiTheme="minorHAnsi" w:cs="Arial"/>
        </w:rPr>
      </w:pPr>
      <w:proofErr w:type="gramStart"/>
      <w:r w:rsidRPr="00A11265">
        <w:rPr>
          <w:rFonts w:asciiTheme="minorHAnsi" w:hAnsiTheme="minorHAnsi" w:cs="Arial"/>
        </w:rPr>
        <w:t>the</w:t>
      </w:r>
      <w:proofErr w:type="gramEnd"/>
      <w:r w:rsidRPr="00A11265">
        <w:rPr>
          <w:rFonts w:asciiTheme="minorHAnsi" w:hAnsiTheme="minorHAnsi" w:cs="Arial"/>
        </w:rPr>
        <w:t xml:space="preserve"> System Controller to publish the proposed administered prices in its Essential System Services Plan, with the prices subject to the approval of the Utilities Commission.</w:t>
      </w:r>
    </w:p>
    <w:p w14:paraId="41E616EE" w14:textId="77777777" w:rsidR="00E83FC4" w:rsidRPr="00A11265" w:rsidRDefault="00E83FC4" w:rsidP="00D24B1D">
      <w:pPr>
        <w:pStyle w:val="Heading4"/>
      </w:pPr>
      <w:r w:rsidRPr="00A11265">
        <w:t>Competitive provision</w:t>
      </w:r>
    </w:p>
    <w:p w14:paraId="330A90B0" w14:textId="4FBF2007" w:rsidR="00E83FC4" w:rsidRPr="00A11265" w:rsidRDefault="00E83FC4" w:rsidP="00E83FC4">
      <w:pPr>
        <w:rPr>
          <w:rFonts w:asciiTheme="minorHAnsi" w:hAnsiTheme="minorHAnsi" w:cs="Arial"/>
        </w:rPr>
      </w:pPr>
      <w:r w:rsidRPr="00A11265">
        <w:rPr>
          <w:rFonts w:asciiTheme="minorHAnsi" w:hAnsiTheme="minorHAnsi" w:cs="Arial"/>
        </w:rPr>
        <w:t xml:space="preserve">Under the proposed competitive arrangements for the provision of essential system services, market power mitigation measures will be required because of the potential incentive or ability of system </w:t>
      </w:r>
      <w:r w:rsidRPr="00A11265">
        <w:rPr>
          <w:rFonts w:asciiTheme="minorHAnsi" w:hAnsiTheme="minorHAnsi" w:cs="Arial"/>
        </w:rPr>
        <w:lastRenderedPageBreak/>
        <w:t>participants to exert market power given the small size of the NT regulated systems, small number of system participants and current dominance of T-Gen.</w:t>
      </w:r>
    </w:p>
    <w:p w14:paraId="375D7CD1" w14:textId="77777777" w:rsidR="00E83FC4" w:rsidRPr="00A11265" w:rsidRDefault="00E83FC4" w:rsidP="00E83FC4">
      <w:pPr>
        <w:rPr>
          <w:rFonts w:asciiTheme="minorHAnsi" w:hAnsiTheme="minorHAnsi" w:cs="Arial"/>
        </w:rPr>
      </w:pPr>
      <w:r w:rsidRPr="00A11265">
        <w:rPr>
          <w:rFonts w:asciiTheme="minorHAnsi" w:hAnsiTheme="minorHAnsi" w:cs="Arial"/>
        </w:rPr>
        <w:t>The market power mitigation measures should include:</w:t>
      </w:r>
    </w:p>
    <w:p w14:paraId="188A1F57" w14:textId="3A8A1A41" w:rsidR="00E83FC4" w:rsidRPr="00A11265" w:rsidRDefault="00E83FC4" w:rsidP="00E83FC4">
      <w:pPr>
        <w:pStyle w:val="ListParagraph"/>
        <w:numPr>
          <w:ilvl w:val="0"/>
          <w:numId w:val="20"/>
        </w:numPr>
        <w:rPr>
          <w:rFonts w:asciiTheme="minorHAnsi" w:hAnsiTheme="minorHAnsi" w:cs="Arial"/>
        </w:rPr>
      </w:pPr>
      <w:r w:rsidRPr="00A11265">
        <w:rPr>
          <w:rFonts w:asciiTheme="minorHAnsi" w:hAnsiTheme="minorHAnsi" w:cs="Arial"/>
        </w:rPr>
        <w:t>constraints on offer prices in any market mechanism, equivalent to the estimated</w:t>
      </w:r>
      <w:r w:rsidR="00BC7422">
        <w:rPr>
          <w:rFonts w:asciiTheme="minorHAnsi" w:hAnsiTheme="minorHAnsi" w:cs="Arial"/>
        </w:rPr>
        <w:t xml:space="preserve"> </w:t>
      </w:r>
      <w:r w:rsidRPr="00A11265">
        <w:rPr>
          <w:rFonts w:asciiTheme="minorHAnsi" w:hAnsiTheme="minorHAnsi" w:cs="Arial"/>
        </w:rPr>
        <w:t>LRMC of providing the service</w:t>
      </w:r>
    </w:p>
    <w:p w14:paraId="05E1160A" w14:textId="1F37EEFC" w:rsidR="00E83FC4" w:rsidRPr="00A11265" w:rsidRDefault="00E83FC4" w:rsidP="00021258">
      <w:pPr>
        <w:pStyle w:val="ListParagraph"/>
        <w:numPr>
          <w:ilvl w:val="0"/>
          <w:numId w:val="20"/>
        </w:numPr>
        <w:rPr>
          <w:rFonts w:asciiTheme="minorHAnsi" w:hAnsiTheme="minorHAnsi" w:cs="Arial"/>
        </w:rPr>
      </w:pPr>
      <w:proofErr w:type="gramStart"/>
      <w:r w:rsidRPr="00A11265">
        <w:rPr>
          <w:rFonts w:asciiTheme="minorHAnsi" w:hAnsiTheme="minorHAnsi" w:cs="Arial"/>
        </w:rPr>
        <w:t>an</w:t>
      </w:r>
      <w:proofErr w:type="gramEnd"/>
      <w:r w:rsidRPr="00A11265">
        <w:rPr>
          <w:rFonts w:asciiTheme="minorHAnsi" w:hAnsiTheme="minorHAnsi" w:cs="Arial"/>
        </w:rPr>
        <w:t xml:space="preserve"> obligation on T-Gen, when fulfilling its role as the default provider, to supply required</w:t>
      </w:r>
      <w:r w:rsidR="0005381A">
        <w:rPr>
          <w:rFonts w:asciiTheme="minorHAnsi" w:hAnsiTheme="minorHAnsi" w:cs="Arial"/>
        </w:rPr>
        <w:t xml:space="preserve"> amounts</w:t>
      </w:r>
      <w:r w:rsidRPr="00A11265">
        <w:rPr>
          <w:rFonts w:asciiTheme="minorHAnsi" w:hAnsiTheme="minorHAnsi" w:cs="Arial"/>
        </w:rPr>
        <w:t xml:space="preserve"> of essential system services</w:t>
      </w:r>
      <w:r w:rsidR="00021258">
        <w:rPr>
          <w:rFonts w:asciiTheme="minorHAnsi" w:hAnsiTheme="minorHAnsi" w:cs="Arial"/>
        </w:rPr>
        <w:t xml:space="preserve"> </w:t>
      </w:r>
      <w:r w:rsidR="00021258" w:rsidRPr="00021258">
        <w:rPr>
          <w:rFonts w:asciiTheme="minorHAnsi" w:hAnsiTheme="minorHAnsi" w:cs="Arial"/>
        </w:rPr>
        <w:t>with the price it receives capped by its actual costs</w:t>
      </w:r>
      <w:r w:rsidRPr="00A11265">
        <w:rPr>
          <w:rFonts w:asciiTheme="minorHAnsi" w:hAnsiTheme="minorHAnsi" w:cs="Arial"/>
        </w:rPr>
        <w:t>.</w:t>
      </w:r>
    </w:p>
    <w:p w14:paraId="3FCF5054" w14:textId="77777777" w:rsidR="00E83FC4" w:rsidRPr="00A11265" w:rsidRDefault="00E83FC4" w:rsidP="00E83FC4">
      <w:pPr>
        <w:rPr>
          <w:rFonts w:asciiTheme="minorHAnsi" w:hAnsiTheme="minorHAnsi" w:cs="Arial"/>
        </w:rPr>
      </w:pPr>
      <w:r w:rsidRPr="00A11265">
        <w:rPr>
          <w:rFonts w:asciiTheme="minorHAnsi" w:hAnsiTheme="minorHAnsi" w:cs="Arial"/>
        </w:rPr>
        <w:t>Requirements should be codified to implement the market power mitigation measures, including:</w:t>
      </w:r>
    </w:p>
    <w:p w14:paraId="0F496F6D" w14:textId="773FE83B" w:rsidR="00E83FC4" w:rsidRPr="00A11265" w:rsidRDefault="00E83FC4" w:rsidP="00E83FC4">
      <w:pPr>
        <w:pStyle w:val="ListParagraph"/>
        <w:numPr>
          <w:ilvl w:val="0"/>
          <w:numId w:val="21"/>
        </w:numPr>
        <w:rPr>
          <w:rFonts w:asciiTheme="minorHAnsi" w:hAnsiTheme="minorHAnsi" w:cs="Arial"/>
        </w:rPr>
      </w:pPr>
      <w:r w:rsidRPr="00A11265">
        <w:rPr>
          <w:rFonts w:asciiTheme="minorHAnsi" w:hAnsiTheme="minorHAnsi" w:cs="Arial"/>
        </w:rPr>
        <w:t>for the System Controller to publish estimates of the LRMC of providing each essential system service in the annual Essential System Services Plan, as a cap on market offers in any competitive procurement process and as a guide to when it will seek to undertake competitive procurement</w:t>
      </w:r>
    </w:p>
    <w:p w14:paraId="055DA50F" w14:textId="1E4AE098" w:rsidR="00B91289" w:rsidRPr="00A11265" w:rsidRDefault="00E83FC4" w:rsidP="00E83FC4">
      <w:pPr>
        <w:pStyle w:val="ListParagraph"/>
        <w:numPr>
          <w:ilvl w:val="0"/>
          <w:numId w:val="21"/>
        </w:numPr>
        <w:rPr>
          <w:rFonts w:asciiTheme="minorHAnsi" w:hAnsiTheme="minorHAnsi" w:cs="Arial"/>
        </w:rPr>
      </w:pPr>
      <w:proofErr w:type="gramStart"/>
      <w:r w:rsidRPr="00A11265">
        <w:rPr>
          <w:rFonts w:asciiTheme="minorHAnsi" w:hAnsiTheme="minorHAnsi" w:cs="Arial"/>
        </w:rPr>
        <w:t>for</w:t>
      </w:r>
      <w:proofErr w:type="gramEnd"/>
      <w:r w:rsidRPr="00A11265">
        <w:rPr>
          <w:rFonts w:asciiTheme="minorHAnsi" w:hAnsiTheme="minorHAnsi" w:cs="Arial"/>
        </w:rPr>
        <w:t xml:space="preserve"> the System Controller to publish the price to be received for services provided by T-Gen when fulfilling its role as the default provider (as per the proposed codified process under ‘monopoly provision’).</w:t>
      </w:r>
    </w:p>
    <w:p w14:paraId="1B275C83" w14:textId="5994ECD8" w:rsidR="00E216DF" w:rsidRPr="00A11265" w:rsidRDefault="00E216DF" w:rsidP="00B00031">
      <w:pPr>
        <w:rPr>
          <w:rFonts w:asciiTheme="minorHAnsi" w:hAnsiTheme="minorHAnsi" w:cs="Arial"/>
        </w:rPr>
      </w:pPr>
    </w:p>
    <w:p w14:paraId="5014DAFD" w14:textId="77777777" w:rsidR="00891B5E" w:rsidRPr="00A11265" w:rsidRDefault="00891B5E">
      <w:pPr>
        <w:rPr>
          <w:rFonts w:asciiTheme="minorHAnsi" w:hAnsiTheme="minorHAnsi" w:cs="Arial"/>
        </w:rPr>
      </w:pPr>
      <w:r w:rsidRPr="00A11265">
        <w:rPr>
          <w:rFonts w:asciiTheme="minorHAnsi" w:hAnsiTheme="minorHAnsi" w:cs="Arial"/>
        </w:rPr>
        <w:br w:type="page"/>
      </w:r>
    </w:p>
    <w:p w14:paraId="7483CE63" w14:textId="2C249B6C" w:rsidR="00CB560D" w:rsidRPr="00A11265" w:rsidRDefault="00CB560D" w:rsidP="00CB560D">
      <w:pPr>
        <w:pStyle w:val="Heading1"/>
        <w:rPr>
          <w:lang w:eastAsia="en-AU"/>
        </w:rPr>
      </w:pPr>
      <w:bookmarkStart w:id="191" w:name="_Toc41893987"/>
      <w:bookmarkStart w:id="192" w:name="_Toc41902228"/>
      <w:bookmarkStart w:id="193" w:name="_Toc42235099"/>
      <w:bookmarkStart w:id="194" w:name="_Toc61956208"/>
      <w:bookmarkEnd w:id="191"/>
      <w:bookmarkEnd w:id="192"/>
      <w:bookmarkEnd w:id="193"/>
      <w:r w:rsidRPr="00A11265">
        <w:rPr>
          <w:lang w:eastAsia="en-AU"/>
        </w:rPr>
        <w:lastRenderedPageBreak/>
        <w:t>Cost allocation and settlement</w:t>
      </w:r>
      <w:bookmarkEnd w:id="194"/>
    </w:p>
    <w:p w14:paraId="6890AC32" w14:textId="67ABC04A" w:rsidR="00DF6F11" w:rsidRPr="00A11265" w:rsidRDefault="00CB560D" w:rsidP="00CB560D">
      <w:pPr>
        <w:rPr>
          <w:rFonts w:asciiTheme="minorHAnsi" w:hAnsiTheme="minorHAnsi" w:cs="Arial"/>
        </w:rPr>
      </w:pPr>
      <w:r w:rsidRPr="00A11265">
        <w:rPr>
          <w:rFonts w:asciiTheme="minorHAnsi" w:hAnsiTheme="minorHAnsi" w:cs="Arial"/>
        </w:rPr>
        <w:t>The</w:t>
      </w:r>
      <w:r w:rsidR="009464A9" w:rsidRPr="00A11265">
        <w:rPr>
          <w:rFonts w:asciiTheme="minorHAnsi" w:hAnsiTheme="minorHAnsi" w:cs="Arial"/>
        </w:rPr>
        <w:t xml:space="preserve"> cost of procuring ancillary services must be reco</w:t>
      </w:r>
      <w:r w:rsidR="00DF6F11" w:rsidRPr="00A11265">
        <w:rPr>
          <w:rFonts w:asciiTheme="minorHAnsi" w:hAnsiTheme="minorHAnsi" w:cs="Arial"/>
        </w:rPr>
        <w:t>vered by the party responsible for procuring them.</w:t>
      </w:r>
    </w:p>
    <w:p w14:paraId="257F83F8" w14:textId="02F91615" w:rsidR="002B30B3" w:rsidRPr="00A11265" w:rsidRDefault="002B30B3" w:rsidP="002B30B3">
      <w:pPr>
        <w:spacing w:before="200"/>
        <w:rPr>
          <w:rFonts w:asciiTheme="minorHAnsi" w:hAnsiTheme="minorHAnsi" w:cs="Arial"/>
        </w:rPr>
      </w:pPr>
      <w:r w:rsidRPr="00A11265">
        <w:rPr>
          <w:rFonts w:asciiTheme="minorHAnsi" w:hAnsiTheme="minorHAnsi" w:cs="Arial"/>
        </w:rPr>
        <w:t xml:space="preserve">Of the seven types of essential system services set out in </w:t>
      </w:r>
      <w:r w:rsidR="0059694D" w:rsidRPr="00A11265">
        <w:rPr>
          <w:rFonts w:asciiTheme="minorHAnsi" w:hAnsiTheme="minorHAnsi" w:cs="Arial"/>
        </w:rPr>
        <w:t>Table 2-</w:t>
      </w:r>
      <w:r w:rsidRPr="00A11265">
        <w:rPr>
          <w:rFonts w:asciiTheme="minorHAnsi" w:hAnsiTheme="minorHAnsi" w:cs="Arial"/>
        </w:rPr>
        <w:t xml:space="preserve">3, </w:t>
      </w:r>
      <w:r w:rsidR="00B42B29" w:rsidRPr="00A11265">
        <w:rPr>
          <w:rFonts w:asciiTheme="minorHAnsi" w:hAnsiTheme="minorHAnsi" w:cs="Arial"/>
        </w:rPr>
        <w:t>five are suited to be procured by the</w:t>
      </w:r>
      <w:r w:rsidRPr="00A11265">
        <w:rPr>
          <w:rFonts w:asciiTheme="minorHAnsi" w:hAnsiTheme="minorHAnsi" w:cs="Arial"/>
        </w:rPr>
        <w:t xml:space="preserve"> System Controller, in that they are system-wide and do not have significant network augmentation alternatives. These are </w:t>
      </w:r>
      <w:r w:rsidR="006245DF" w:rsidRPr="00A11265">
        <w:rPr>
          <w:rFonts w:asciiTheme="minorHAnsi" w:hAnsiTheme="minorHAnsi" w:cs="Arial"/>
        </w:rPr>
        <w:t>rate of change of frequency (</w:t>
      </w:r>
      <w:proofErr w:type="spellStart"/>
      <w:r w:rsidRPr="00A11265">
        <w:rPr>
          <w:rFonts w:asciiTheme="minorHAnsi" w:hAnsiTheme="minorHAnsi" w:cs="Arial"/>
        </w:rPr>
        <w:t>RoCof</w:t>
      </w:r>
      <w:proofErr w:type="spellEnd"/>
      <w:r w:rsidR="006245DF" w:rsidRPr="00A11265">
        <w:rPr>
          <w:rFonts w:asciiTheme="minorHAnsi" w:hAnsiTheme="minorHAnsi" w:cs="Arial"/>
        </w:rPr>
        <w:t>)</w:t>
      </w:r>
      <w:r w:rsidRPr="00A11265">
        <w:rPr>
          <w:rFonts w:asciiTheme="minorHAnsi" w:hAnsiTheme="minorHAnsi" w:cs="Arial"/>
        </w:rPr>
        <w:t xml:space="preserve"> </w:t>
      </w:r>
      <w:r w:rsidR="006245DF" w:rsidRPr="00A11265">
        <w:rPr>
          <w:rFonts w:asciiTheme="minorHAnsi" w:hAnsiTheme="minorHAnsi" w:cs="Arial"/>
        </w:rPr>
        <w:t>c</w:t>
      </w:r>
      <w:r w:rsidRPr="00A11265">
        <w:rPr>
          <w:rFonts w:asciiTheme="minorHAnsi" w:hAnsiTheme="minorHAnsi" w:cs="Arial"/>
        </w:rPr>
        <w:t xml:space="preserve">ontrol, </w:t>
      </w:r>
      <w:r w:rsidR="006245DF" w:rsidRPr="00A11265">
        <w:rPr>
          <w:rFonts w:asciiTheme="minorHAnsi" w:hAnsiTheme="minorHAnsi" w:cs="Arial"/>
        </w:rPr>
        <w:t>c</w:t>
      </w:r>
      <w:r w:rsidRPr="00A11265">
        <w:rPr>
          <w:rFonts w:asciiTheme="minorHAnsi" w:hAnsiTheme="minorHAnsi" w:cs="Arial"/>
        </w:rPr>
        <w:t xml:space="preserve">ontingency </w:t>
      </w:r>
      <w:r w:rsidR="006245DF" w:rsidRPr="00A11265">
        <w:rPr>
          <w:rFonts w:asciiTheme="minorHAnsi" w:hAnsiTheme="minorHAnsi" w:cs="Arial"/>
        </w:rPr>
        <w:t>f</w:t>
      </w:r>
      <w:r w:rsidRPr="00A11265">
        <w:rPr>
          <w:rFonts w:asciiTheme="minorHAnsi" w:hAnsiTheme="minorHAnsi" w:cs="Arial"/>
        </w:rPr>
        <w:t xml:space="preserve">requency </w:t>
      </w:r>
      <w:r w:rsidR="006245DF" w:rsidRPr="00A11265">
        <w:rPr>
          <w:rFonts w:asciiTheme="minorHAnsi" w:hAnsiTheme="minorHAnsi" w:cs="Arial"/>
        </w:rPr>
        <w:t>c</w:t>
      </w:r>
      <w:r w:rsidRPr="00A11265">
        <w:rPr>
          <w:rFonts w:asciiTheme="minorHAnsi" w:hAnsiTheme="minorHAnsi" w:cs="Arial"/>
        </w:rPr>
        <w:t>ontrol (</w:t>
      </w:r>
      <w:r w:rsidR="006245DF" w:rsidRPr="00A11265">
        <w:rPr>
          <w:rFonts w:asciiTheme="minorHAnsi" w:hAnsiTheme="minorHAnsi" w:cs="Arial"/>
        </w:rPr>
        <w:t>r</w:t>
      </w:r>
      <w:r w:rsidRPr="00A11265">
        <w:rPr>
          <w:rFonts w:asciiTheme="minorHAnsi" w:hAnsiTheme="minorHAnsi" w:cs="Arial"/>
        </w:rPr>
        <w:t xml:space="preserve">aise &amp; </w:t>
      </w:r>
      <w:r w:rsidR="006245DF" w:rsidRPr="00A11265">
        <w:rPr>
          <w:rFonts w:asciiTheme="minorHAnsi" w:hAnsiTheme="minorHAnsi" w:cs="Arial"/>
        </w:rPr>
        <w:t>l</w:t>
      </w:r>
      <w:r w:rsidRPr="00A11265">
        <w:rPr>
          <w:rFonts w:asciiTheme="minorHAnsi" w:hAnsiTheme="minorHAnsi" w:cs="Arial"/>
        </w:rPr>
        <w:t>ower), regulating frequency control and system restart.</w:t>
      </w:r>
    </w:p>
    <w:p w14:paraId="27F68BE0" w14:textId="1341B930" w:rsidR="002B30B3" w:rsidRPr="00A11265" w:rsidRDefault="002B30B3" w:rsidP="002B30B3">
      <w:pPr>
        <w:spacing w:before="200"/>
        <w:rPr>
          <w:rFonts w:asciiTheme="minorHAnsi" w:hAnsiTheme="minorHAnsi" w:cs="Arial"/>
        </w:rPr>
      </w:pPr>
      <w:r w:rsidRPr="00A11265">
        <w:rPr>
          <w:rFonts w:asciiTheme="minorHAnsi" w:hAnsiTheme="minorHAnsi" w:cs="Arial"/>
        </w:rPr>
        <w:t>The remaining two proposed essential system services, voltage management/network support and system strength, have localised requirements and significant network augmentation alternatives, and the Network Operator would be</w:t>
      </w:r>
      <w:r w:rsidR="00570100" w:rsidRPr="00A11265">
        <w:rPr>
          <w:rFonts w:asciiTheme="minorHAnsi" w:hAnsiTheme="minorHAnsi" w:cs="Arial"/>
        </w:rPr>
        <w:t xml:space="preserve"> best</w:t>
      </w:r>
      <w:r w:rsidRPr="00A11265">
        <w:rPr>
          <w:rFonts w:asciiTheme="minorHAnsi" w:hAnsiTheme="minorHAnsi" w:cs="Arial"/>
        </w:rPr>
        <w:t xml:space="preserve"> able to assess the efficient solutions and should be responsible for their procurement.</w:t>
      </w:r>
    </w:p>
    <w:p w14:paraId="12F6DA67" w14:textId="534CF37B" w:rsidR="00CB560D" w:rsidRPr="00A11265" w:rsidRDefault="009464A9" w:rsidP="00CB560D">
      <w:pPr>
        <w:pStyle w:val="Heading2"/>
        <w:keepNext/>
        <w:rPr>
          <w:lang w:eastAsia="en-AU"/>
        </w:rPr>
      </w:pPr>
      <w:bookmarkStart w:id="195" w:name="_Toc61852407"/>
      <w:bookmarkStart w:id="196" w:name="_Toc61956209"/>
      <w:bookmarkEnd w:id="195"/>
      <w:r w:rsidRPr="00A11265">
        <w:rPr>
          <w:lang w:eastAsia="en-AU"/>
        </w:rPr>
        <w:t>Background</w:t>
      </w:r>
      <w:bookmarkEnd w:id="196"/>
    </w:p>
    <w:p w14:paraId="6B281BFF" w14:textId="6746813A" w:rsidR="00CB560D" w:rsidRPr="00A11265" w:rsidRDefault="00CB560D" w:rsidP="00CB560D">
      <w:pPr>
        <w:rPr>
          <w:rFonts w:asciiTheme="minorHAnsi" w:hAnsiTheme="minorHAnsi" w:cs="Arial"/>
        </w:rPr>
      </w:pPr>
      <w:r w:rsidRPr="00A11265">
        <w:rPr>
          <w:rFonts w:asciiTheme="minorHAnsi" w:hAnsiTheme="minorHAnsi" w:cs="Arial"/>
        </w:rPr>
        <w:t xml:space="preserve">Under the </w:t>
      </w:r>
      <w:r w:rsidR="00A9039F">
        <w:rPr>
          <w:rFonts w:asciiTheme="minorHAnsi" w:hAnsiTheme="minorHAnsi" w:cs="Arial"/>
        </w:rPr>
        <w:t>System Control Technical Code (</w:t>
      </w:r>
      <w:r w:rsidRPr="00A11265">
        <w:rPr>
          <w:rFonts w:asciiTheme="minorHAnsi" w:hAnsiTheme="minorHAnsi" w:cs="Arial"/>
        </w:rPr>
        <w:t>SCTC</w:t>
      </w:r>
      <w:r w:rsidR="00A9039F">
        <w:rPr>
          <w:rFonts w:asciiTheme="minorHAnsi" w:hAnsiTheme="minorHAnsi" w:cs="Arial"/>
        </w:rPr>
        <w:t>)</w:t>
      </w:r>
      <w:r w:rsidRPr="00A11265">
        <w:rPr>
          <w:rFonts w:asciiTheme="minorHAnsi" w:hAnsiTheme="minorHAnsi" w:cs="Arial"/>
        </w:rPr>
        <w:t>, Territory Generation</w:t>
      </w:r>
      <w:r w:rsidR="00FB7EB6" w:rsidRPr="00A11265">
        <w:rPr>
          <w:rFonts w:asciiTheme="minorHAnsi" w:hAnsiTheme="minorHAnsi" w:cs="Arial"/>
        </w:rPr>
        <w:t xml:space="preserve"> (T-Gen)</w:t>
      </w:r>
      <w:r w:rsidRPr="00A11265">
        <w:rPr>
          <w:rFonts w:asciiTheme="minorHAnsi" w:hAnsiTheme="minorHAnsi" w:cs="Arial"/>
        </w:rPr>
        <w:t xml:space="preserve"> is the mandated provider of </w:t>
      </w:r>
      <w:r w:rsidR="00FB7EB6" w:rsidRPr="00A11265">
        <w:rPr>
          <w:rFonts w:asciiTheme="minorHAnsi" w:hAnsiTheme="minorHAnsi" w:cs="Arial"/>
        </w:rPr>
        <w:t>essential system services</w:t>
      </w:r>
      <w:r w:rsidRPr="00A11265">
        <w:rPr>
          <w:rFonts w:asciiTheme="minorHAnsi" w:hAnsiTheme="minorHAnsi" w:cs="Arial"/>
        </w:rPr>
        <w:t xml:space="preserve"> and is entitled to receive payment from other licenced generators of $5.40</w:t>
      </w:r>
      <w:r w:rsidR="006430D7" w:rsidRPr="00A11265">
        <w:rPr>
          <w:rFonts w:asciiTheme="minorHAnsi" w:hAnsiTheme="minorHAnsi" w:cs="Arial"/>
        </w:rPr>
        <w:t>/</w:t>
      </w:r>
      <w:r w:rsidR="00A9039F">
        <w:rPr>
          <w:rFonts w:asciiTheme="minorHAnsi" w:hAnsiTheme="minorHAnsi" w:cs="Arial"/>
        </w:rPr>
        <w:t>megawatt hour</w:t>
      </w:r>
      <w:r w:rsidRPr="00A11265">
        <w:rPr>
          <w:rFonts w:asciiTheme="minorHAnsi" w:hAnsiTheme="minorHAnsi" w:cs="Arial"/>
        </w:rPr>
        <w:t xml:space="preserve"> of electricity they send out in each settlement period (one calendar month).</w:t>
      </w:r>
      <w:r w:rsidR="00FB7EB6" w:rsidRPr="00A11265">
        <w:rPr>
          <w:rFonts w:asciiTheme="minorHAnsi" w:hAnsiTheme="minorHAnsi" w:cs="Arial"/>
        </w:rPr>
        <w:t xml:space="preserve"> </w:t>
      </w:r>
      <w:r w:rsidRPr="00A11265">
        <w:rPr>
          <w:rFonts w:asciiTheme="minorHAnsi" w:hAnsiTheme="minorHAnsi" w:cs="Arial"/>
        </w:rPr>
        <w:t xml:space="preserve">Settlement is facilitated by the Market Operator, which calculates the </w:t>
      </w:r>
      <w:r w:rsidR="00FB7EB6" w:rsidRPr="00A11265">
        <w:rPr>
          <w:rFonts w:asciiTheme="minorHAnsi" w:hAnsiTheme="minorHAnsi" w:cs="Arial"/>
        </w:rPr>
        <w:t>sent out</w:t>
      </w:r>
      <w:r w:rsidRPr="00A11265">
        <w:rPr>
          <w:rFonts w:asciiTheme="minorHAnsi" w:hAnsiTheme="minorHAnsi" w:cs="Arial"/>
        </w:rPr>
        <w:t xml:space="preserve"> quantity for each generator and issues a settlement statement. T</w:t>
      </w:r>
      <w:r w:rsidR="00FB7EB6" w:rsidRPr="00A11265">
        <w:rPr>
          <w:rFonts w:asciiTheme="minorHAnsi" w:hAnsiTheme="minorHAnsi" w:cs="Arial"/>
        </w:rPr>
        <w:noBreakHyphen/>
        <w:t>Gen</w:t>
      </w:r>
      <w:r w:rsidRPr="00A11265">
        <w:rPr>
          <w:rFonts w:asciiTheme="minorHAnsi" w:hAnsiTheme="minorHAnsi" w:cs="Arial"/>
        </w:rPr>
        <w:t xml:space="preserve"> then issues invoices to other generators, which are required to be paid within 30 days.</w:t>
      </w:r>
    </w:p>
    <w:p w14:paraId="7CC7047D" w14:textId="77777777" w:rsidR="00CB560D" w:rsidRPr="00A11265" w:rsidRDefault="00CB560D" w:rsidP="00D24B1D">
      <w:pPr>
        <w:pStyle w:val="Heading4"/>
      </w:pPr>
      <w:r w:rsidRPr="00A11265">
        <w:t>Islanding events</w:t>
      </w:r>
    </w:p>
    <w:p w14:paraId="032AF785" w14:textId="7C9A5820" w:rsidR="009464A9" w:rsidRPr="00A11265" w:rsidRDefault="00CB560D" w:rsidP="00CB560D">
      <w:pPr>
        <w:rPr>
          <w:rFonts w:asciiTheme="minorHAnsi" w:hAnsiTheme="minorHAnsi" w:cs="Arial"/>
        </w:rPr>
      </w:pPr>
      <w:r w:rsidRPr="00A11265">
        <w:rPr>
          <w:rFonts w:asciiTheme="minorHAnsi" w:hAnsiTheme="minorHAnsi" w:cs="Arial"/>
        </w:rPr>
        <w:t>Under certain circumstances, such as when Pine Creek is islanded, the generator at Pine Creek (E</w:t>
      </w:r>
      <w:r w:rsidR="00483E56" w:rsidRPr="00A11265">
        <w:rPr>
          <w:rFonts w:asciiTheme="minorHAnsi" w:hAnsiTheme="minorHAnsi" w:cs="Arial"/>
        </w:rPr>
        <w:t>DL</w:t>
      </w:r>
      <w:r w:rsidRPr="00A11265">
        <w:rPr>
          <w:rFonts w:asciiTheme="minorHAnsi" w:hAnsiTheme="minorHAnsi" w:cs="Arial"/>
        </w:rPr>
        <w:t xml:space="preserve">) is required by the System Controller to provide </w:t>
      </w:r>
      <w:r w:rsidR="00FB7EB6" w:rsidRPr="00A11265">
        <w:rPr>
          <w:rFonts w:asciiTheme="minorHAnsi" w:hAnsiTheme="minorHAnsi" w:cs="Arial"/>
        </w:rPr>
        <w:t>essential system services</w:t>
      </w:r>
      <w:r w:rsidRPr="00A11265">
        <w:rPr>
          <w:rFonts w:asciiTheme="minorHAnsi" w:hAnsiTheme="minorHAnsi" w:cs="Arial"/>
        </w:rPr>
        <w:t xml:space="preserve">. </w:t>
      </w:r>
      <w:r w:rsidR="00FB7EB6" w:rsidRPr="00A11265">
        <w:rPr>
          <w:rFonts w:asciiTheme="minorHAnsi" w:hAnsiTheme="minorHAnsi" w:cs="Arial"/>
        </w:rPr>
        <w:t>To avoid unduly charging EDL for services it provides, t</w:t>
      </w:r>
      <w:r w:rsidRPr="00A11265">
        <w:rPr>
          <w:rFonts w:asciiTheme="minorHAnsi" w:hAnsiTheme="minorHAnsi" w:cs="Arial"/>
        </w:rPr>
        <w:t xml:space="preserve">he System Controller reduces the </w:t>
      </w:r>
      <w:r w:rsidR="00FB7EB6" w:rsidRPr="00A11265">
        <w:rPr>
          <w:rFonts w:asciiTheme="minorHAnsi" w:hAnsiTheme="minorHAnsi" w:cs="Arial"/>
        </w:rPr>
        <w:t>essential system services</w:t>
      </w:r>
      <w:r w:rsidRPr="00A11265">
        <w:rPr>
          <w:rFonts w:asciiTheme="minorHAnsi" w:hAnsiTheme="minorHAnsi" w:cs="Arial"/>
        </w:rPr>
        <w:t xml:space="preserve"> price for EDL in proportion to the period within each market interval (30 minutes) that EDL was required to provide </w:t>
      </w:r>
      <w:r w:rsidR="00FB7EB6" w:rsidRPr="00A11265">
        <w:rPr>
          <w:rFonts w:asciiTheme="minorHAnsi" w:hAnsiTheme="minorHAnsi" w:cs="Arial"/>
        </w:rPr>
        <w:t>essential system services</w:t>
      </w:r>
      <w:r w:rsidRPr="00A11265">
        <w:rPr>
          <w:rFonts w:asciiTheme="minorHAnsi" w:hAnsiTheme="minorHAnsi" w:cs="Arial"/>
        </w:rPr>
        <w:t xml:space="preserve"> (this is a workaround required because the SCTC does not permit the System Controller to amend </w:t>
      </w:r>
      <w:r w:rsidR="00FB7EB6" w:rsidRPr="00A11265">
        <w:rPr>
          <w:rFonts w:asciiTheme="minorHAnsi" w:hAnsiTheme="minorHAnsi" w:cs="Arial"/>
        </w:rPr>
        <w:t>essential system services</w:t>
      </w:r>
      <w:r w:rsidRPr="00A11265">
        <w:rPr>
          <w:rFonts w:asciiTheme="minorHAnsi" w:hAnsiTheme="minorHAnsi" w:cs="Arial"/>
        </w:rPr>
        <w:t xml:space="preserve"> quantities).</w:t>
      </w:r>
      <w:r w:rsidR="00996BBF" w:rsidRPr="00A11265">
        <w:rPr>
          <w:rStyle w:val="FootnoteReference"/>
          <w:rFonts w:asciiTheme="minorHAnsi" w:hAnsiTheme="minorHAnsi" w:cs="Arial"/>
        </w:rPr>
        <w:footnoteReference w:id="48"/>
      </w:r>
    </w:p>
    <w:p w14:paraId="0AE04B9A" w14:textId="37101412" w:rsidR="00CB560D" w:rsidRPr="00A11265" w:rsidRDefault="00CB560D" w:rsidP="00D9724C">
      <w:pPr>
        <w:pStyle w:val="Heading3"/>
        <w:rPr>
          <w:szCs w:val="24"/>
          <w:lang w:eastAsia="en-AU"/>
        </w:rPr>
      </w:pPr>
      <w:bookmarkStart w:id="197" w:name="_Toc58207613"/>
      <w:bookmarkEnd w:id="197"/>
      <w:r w:rsidRPr="00A11265">
        <w:rPr>
          <w:szCs w:val="24"/>
          <w:lang w:eastAsia="en-AU"/>
        </w:rPr>
        <w:t>Case for change</w:t>
      </w:r>
    </w:p>
    <w:p w14:paraId="3C00238B" w14:textId="5FD10681" w:rsidR="00311B24" w:rsidRPr="00A11265" w:rsidRDefault="00CB560D" w:rsidP="00CB560D">
      <w:pPr>
        <w:rPr>
          <w:rFonts w:asciiTheme="minorHAnsi" w:hAnsiTheme="minorHAnsi" w:cs="Arial"/>
        </w:rPr>
      </w:pPr>
      <w:r w:rsidRPr="00A11265">
        <w:rPr>
          <w:rFonts w:asciiTheme="minorHAnsi" w:hAnsiTheme="minorHAnsi" w:cs="Arial"/>
        </w:rPr>
        <w:t xml:space="preserve">The current cost allocation </w:t>
      </w:r>
      <w:r w:rsidR="00FB7EB6" w:rsidRPr="00A11265">
        <w:rPr>
          <w:rFonts w:asciiTheme="minorHAnsi" w:hAnsiTheme="minorHAnsi" w:cs="Arial"/>
        </w:rPr>
        <w:t>arrangement under</w:t>
      </w:r>
      <w:r w:rsidRPr="00A11265">
        <w:rPr>
          <w:rFonts w:asciiTheme="minorHAnsi" w:hAnsiTheme="minorHAnsi" w:cs="Arial"/>
        </w:rPr>
        <w:t xml:space="preserve"> the SCTC</w:t>
      </w:r>
      <w:r w:rsidR="00FB7EB6" w:rsidRPr="00A11265">
        <w:rPr>
          <w:rFonts w:asciiTheme="minorHAnsi" w:hAnsiTheme="minorHAnsi" w:cs="Arial"/>
        </w:rPr>
        <w:t>, whereby</w:t>
      </w:r>
      <w:r w:rsidRPr="00A11265">
        <w:rPr>
          <w:rFonts w:asciiTheme="minorHAnsi" w:hAnsiTheme="minorHAnsi" w:cs="Arial"/>
        </w:rPr>
        <w:t xml:space="preserve"> </w:t>
      </w:r>
      <w:r w:rsidR="00FB7EB6" w:rsidRPr="00A11265">
        <w:rPr>
          <w:rFonts w:asciiTheme="minorHAnsi" w:hAnsiTheme="minorHAnsi" w:cs="Arial"/>
        </w:rPr>
        <w:t>essential system services</w:t>
      </w:r>
      <w:r w:rsidRPr="00A11265">
        <w:rPr>
          <w:rFonts w:asciiTheme="minorHAnsi" w:hAnsiTheme="minorHAnsi" w:cs="Arial"/>
        </w:rPr>
        <w:t xml:space="preserve"> costs</w:t>
      </w:r>
      <w:r w:rsidR="00FB7EB6" w:rsidRPr="00A11265">
        <w:rPr>
          <w:rFonts w:asciiTheme="minorHAnsi" w:hAnsiTheme="minorHAnsi" w:cs="Arial"/>
        </w:rPr>
        <w:t xml:space="preserve"> are allocated</w:t>
      </w:r>
      <w:r w:rsidRPr="00A11265">
        <w:rPr>
          <w:rFonts w:asciiTheme="minorHAnsi" w:hAnsiTheme="minorHAnsi" w:cs="Arial"/>
        </w:rPr>
        <w:t xml:space="preserve"> to licenced generators based on their proportion of total energy sent out</w:t>
      </w:r>
      <w:r w:rsidR="00311B24" w:rsidRPr="00A11265">
        <w:rPr>
          <w:rFonts w:asciiTheme="minorHAnsi" w:hAnsiTheme="minorHAnsi" w:cs="Arial"/>
        </w:rPr>
        <w:t>, is inequitable and ineffi</w:t>
      </w:r>
      <w:r w:rsidR="00A026C0" w:rsidRPr="00A11265">
        <w:rPr>
          <w:rFonts w:asciiTheme="minorHAnsi" w:hAnsiTheme="minorHAnsi" w:cs="Arial"/>
        </w:rPr>
        <w:t>ci</w:t>
      </w:r>
      <w:r w:rsidR="00311B24" w:rsidRPr="00A11265">
        <w:rPr>
          <w:rFonts w:asciiTheme="minorHAnsi" w:hAnsiTheme="minorHAnsi" w:cs="Arial"/>
        </w:rPr>
        <w:t>ent.</w:t>
      </w:r>
    </w:p>
    <w:p w14:paraId="5AD0098C" w14:textId="47D2C20A" w:rsidR="00CB560D" w:rsidRPr="00A11265" w:rsidRDefault="00311B24" w:rsidP="00CB560D">
      <w:pPr>
        <w:rPr>
          <w:rFonts w:asciiTheme="minorHAnsi" w:hAnsiTheme="minorHAnsi" w:cs="Arial"/>
        </w:rPr>
      </w:pPr>
      <w:r w:rsidRPr="00A11265">
        <w:rPr>
          <w:rFonts w:asciiTheme="minorHAnsi" w:hAnsiTheme="minorHAnsi" w:cs="Arial"/>
        </w:rPr>
        <w:t xml:space="preserve">The arrangement </w:t>
      </w:r>
      <w:r w:rsidR="00CB560D" w:rsidRPr="00A11265">
        <w:rPr>
          <w:rFonts w:asciiTheme="minorHAnsi" w:hAnsiTheme="minorHAnsi" w:cs="Arial"/>
        </w:rPr>
        <w:t xml:space="preserve">is </w:t>
      </w:r>
      <w:r w:rsidR="00CB560D" w:rsidRPr="00A23B49">
        <w:rPr>
          <w:rFonts w:asciiTheme="minorHAnsi" w:hAnsiTheme="minorHAnsi" w:cs="Arial"/>
          <w:i/>
        </w:rPr>
        <w:t>inequitable</w:t>
      </w:r>
      <w:r w:rsidR="00CB560D" w:rsidRPr="00A11265">
        <w:rPr>
          <w:rFonts w:asciiTheme="minorHAnsi" w:hAnsiTheme="minorHAnsi" w:cs="Arial"/>
        </w:rPr>
        <w:t xml:space="preserve"> because it does not allocate costs between </w:t>
      </w:r>
      <w:proofErr w:type="gramStart"/>
      <w:r w:rsidR="00CB560D" w:rsidRPr="00A11265">
        <w:rPr>
          <w:rFonts w:asciiTheme="minorHAnsi" w:hAnsiTheme="minorHAnsi" w:cs="Arial"/>
        </w:rPr>
        <w:t>system</w:t>
      </w:r>
      <w:proofErr w:type="gramEnd"/>
      <w:r w:rsidR="00CB560D" w:rsidRPr="00A11265">
        <w:rPr>
          <w:rFonts w:asciiTheme="minorHAnsi" w:hAnsiTheme="minorHAnsi" w:cs="Arial"/>
        </w:rPr>
        <w:t xml:space="preserve"> participants on the basis of the benefits received from the </w:t>
      </w:r>
      <w:r w:rsidRPr="00A11265">
        <w:rPr>
          <w:rFonts w:asciiTheme="minorHAnsi" w:hAnsiTheme="minorHAnsi" w:cs="Arial"/>
        </w:rPr>
        <w:t>essential system services</w:t>
      </w:r>
      <w:r w:rsidR="00CB560D" w:rsidRPr="00A11265">
        <w:rPr>
          <w:rFonts w:asciiTheme="minorHAnsi" w:hAnsiTheme="minorHAnsi" w:cs="Arial"/>
        </w:rPr>
        <w:t xml:space="preserve"> provided. Although licenced generators benefit from the provision of </w:t>
      </w:r>
      <w:r w:rsidRPr="00A11265">
        <w:rPr>
          <w:rFonts w:asciiTheme="minorHAnsi" w:hAnsiTheme="minorHAnsi" w:cs="Arial"/>
        </w:rPr>
        <w:t>essential system services</w:t>
      </w:r>
      <w:r w:rsidR="00CB560D" w:rsidRPr="00A11265">
        <w:rPr>
          <w:rFonts w:asciiTheme="minorHAnsi" w:hAnsiTheme="minorHAnsi" w:cs="Arial"/>
        </w:rPr>
        <w:t>, all other system participants also benefit, including unlicensed generators such as small</w:t>
      </w:r>
      <w:r w:rsidR="006430D7" w:rsidRPr="00A11265">
        <w:rPr>
          <w:rFonts w:asciiTheme="minorHAnsi" w:hAnsiTheme="minorHAnsi" w:cs="Arial"/>
        </w:rPr>
        <w:noBreakHyphen/>
      </w:r>
      <w:r w:rsidR="00CB560D" w:rsidRPr="00A11265">
        <w:rPr>
          <w:rFonts w:asciiTheme="minorHAnsi" w:hAnsiTheme="minorHAnsi" w:cs="Arial"/>
        </w:rPr>
        <w:t>scale solar PV and consumers.</w:t>
      </w:r>
    </w:p>
    <w:p w14:paraId="7A0B1E31" w14:textId="0435E8F0" w:rsidR="00CB560D" w:rsidRPr="00A11265" w:rsidRDefault="00CB560D" w:rsidP="00CB560D">
      <w:pPr>
        <w:rPr>
          <w:rFonts w:asciiTheme="minorHAnsi" w:hAnsiTheme="minorHAnsi" w:cs="Arial"/>
        </w:rPr>
      </w:pPr>
      <w:r w:rsidRPr="00A11265">
        <w:rPr>
          <w:rFonts w:asciiTheme="minorHAnsi" w:hAnsiTheme="minorHAnsi" w:cs="Arial"/>
        </w:rPr>
        <w:t xml:space="preserve">The arrangement is </w:t>
      </w:r>
      <w:r w:rsidRPr="00A23B49">
        <w:rPr>
          <w:rFonts w:asciiTheme="minorHAnsi" w:hAnsiTheme="minorHAnsi" w:cs="Arial"/>
          <w:i/>
        </w:rPr>
        <w:t>inefficient</w:t>
      </w:r>
      <w:r w:rsidRPr="00A11265">
        <w:rPr>
          <w:rFonts w:asciiTheme="minorHAnsi" w:hAnsiTheme="minorHAnsi" w:cs="Arial"/>
        </w:rPr>
        <w:t xml:space="preserve"> as it does not provide incentives for system participants to manage their contribution to</w:t>
      </w:r>
      <w:r w:rsidR="006430D7" w:rsidRPr="00A11265">
        <w:rPr>
          <w:rFonts w:asciiTheme="minorHAnsi" w:hAnsiTheme="minorHAnsi" w:cs="Arial"/>
        </w:rPr>
        <w:t>,</w:t>
      </w:r>
      <w:r w:rsidRPr="00A11265">
        <w:rPr>
          <w:rFonts w:asciiTheme="minorHAnsi" w:hAnsiTheme="minorHAnsi" w:cs="Arial"/>
        </w:rPr>
        <w:t xml:space="preserve"> or assist with the correction of</w:t>
      </w:r>
      <w:r w:rsidR="006430D7" w:rsidRPr="00A11265">
        <w:rPr>
          <w:rFonts w:asciiTheme="minorHAnsi" w:hAnsiTheme="minorHAnsi" w:cs="Arial"/>
        </w:rPr>
        <w:t>,</w:t>
      </w:r>
      <w:r w:rsidRPr="00A11265">
        <w:rPr>
          <w:rFonts w:asciiTheme="minorHAnsi" w:hAnsiTheme="minorHAnsi" w:cs="Arial"/>
        </w:rPr>
        <w:t xml:space="preserve"> frequency deviations which are the primary drivers of </w:t>
      </w:r>
      <w:r w:rsidR="006430D7" w:rsidRPr="00A11265">
        <w:rPr>
          <w:rFonts w:asciiTheme="minorHAnsi" w:hAnsiTheme="minorHAnsi" w:cs="Arial"/>
        </w:rPr>
        <w:t xml:space="preserve">service requirements and costs of </w:t>
      </w:r>
      <w:r w:rsidR="00311B24" w:rsidRPr="00A11265">
        <w:rPr>
          <w:rFonts w:asciiTheme="minorHAnsi" w:hAnsiTheme="minorHAnsi" w:cs="Arial"/>
        </w:rPr>
        <w:t>regulating frequency control</w:t>
      </w:r>
      <w:r w:rsidRPr="00A11265">
        <w:rPr>
          <w:rFonts w:asciiTheme="minorHAnsi" w:hAnsiTheme="minorHAnsi" w:cs="Arial"/>
        </w:rPr>
        <w:t>.</w:t>
      </w:r>
    </w:p>
    <w:p w14:paraId="56FD2E1B" w14:textId="5A643889" w:rsidR="009464A9" w:rsidRPr="00A11265" w:rsidRDefault="002B30B3" w:rsidP="00F51F16">
      <w:pPr>
        <w:pStyle w:val="Heading3"/>
        <w:keepNext/>
        <w:rPr>
          <w:szCs w:val="24"/>
          <w:lang w:eastAsia="en-AU"/>
        </w:rPr>
      </w:pPr>
      <w:r w:rsidRPr="00A11265">
        <w:rPr>
          <w:szCs w:val="24"/>
          <w:lang w:eastAsia="en-AU"/>
        </w:rPr>
        <w:lastRenderedPageBreak/>
        <w:t>Arrangements in other markets</w:t>
      </w:r>
    </w:p>
    <w:p w14:paraId="3B8A5419" w14:textId="2335E70D" w:rsidR="007A4752" w:rsidRPr="00A11265" w:rsidRDefault="002B30B3" w:rsidP="002B30B3">
      <w:pPr>
        <w:rPr>
          <w:rFonts w:asciiTheme="minorHAnsi" w:hAnsiTheme="minorHAnsi" w:cs="Arial"/>
        </w:rPr>
      </w:pPr>
      <w:r w:rsidRPr="00A11265">
        <w:rPr>
          <w:rFonts w:asciiTheme="minorHAnsi" w:hAnsiTheme="minorHAnsi" w:cs="Arial"/>
        </w:rPr>
        <w:t xml:space="preserve">In mature markets, such as the </w:t>
      </w:r>
      <w:r w:rsidR="00311B24" w:rsidRPr="00A11265">
        <w:rPr>
          <w:rFonts w:asciiTheme="minorHAnsi" w:hAnsiTheme="minorHAnsi" w:cs="Arial"/>
        </w:rPr>
        <w:t>National Electricity Market (</w:t>
      </w:r>
      <w:r w:rsidRPr="00A11265">
        <w:rPr>
          <w:rFonts w:asciiTheme="minorHAnsi" w:hAnsiTheme="minorHAnsi" w:cs="Arial"/>
        </w:rPr>
        <w:t>NEM</w:t>
      </w:r>
      <w:r w:rsidR="00311B24" w:rsidRPr="00A11265">
        <w:rPr>
          <w:rFonts w:asciiTheme="minorHAnsi" w:hAnsiTheme="minorHAnsi" w:cs="Arial"/>
        </w:rPr>
        <w:t>) and Western Australian Wholesale Electricity Market (WEM)</w:t>
      </w:r>
      <w:r w:rsidRPr="00A11265">
        <w:rPr>
          <w:rFonts w:asciiTheme="minorHAnsi" w:hAnsiTheme="minorHAnsi" w:cs="Arial"/>
        </w:rPr>
        <w:t xml:space="preserve">, </w:t>
      </w:r>
      <w:r w:rsidR="00311B24" w:rsidRPr="00A11265">
        <w:rPr>
          <w:rFonts w:asciiTheme="minorHAnsi" w:hAnsiTheme="minorHAnsi" w:cs="Arial"/>
        </w:rPr>
        <w:t>essential system services</w:t>
      </w:r>
      <w:r w:rsidRPr="00A11265">
        <w:rPr>
          <w:rFonts w:asciiTheme="minorHAnsi" w:hAnsiTheme="minorHAnsi" w:cs="Arial"/>
        </w:rPr>
        <w:t xml:space="preserve"> costs are typically allocated to parties who are deemed to have caused the need for the services and have capacity to </w:t>
      </w:r>
      <w:r w:rsidR="007A4752" w:rsidRPr="00A11265">
        <w:rPr>
          <w:rFonts w:asciiTheme="minorHAnsi" w:hAnsiTheme="minorHAnsi" w:cs="Arial"/>
        </w:rPr>
        <w:t>take action to reduce the need.</w:t>
      </w:r>
    </w:p>
    <w:p w14:paraId="31A7F522" w14:textId="5566936C" w:rsidR="002B30B3" w:rsidRPr="00A11265" w:rsidRDefault="002B30B3" w:rsidP="002B30B3">
      <w:pPr>
        <w:rPr>
          <w:rFonts w:asciiTheme="minorHAnsi" w:hAnsiTheme="minorHAnsi" w:cs="Arial"/>
        </w:rPr>
      </w:pPr>
      <w:r w:rsidRPr="00A11265">
        <w:rPr>
          <w:rFonts w:asciiTheme="minorHAnsi" w:hAnsiTheme="minorHAnsi" w:cs="Arial"/>
        </w:rPr>
        <w:t>In the NEM, this has resulted in the following cost allocations.</w:t>
      </w:r>
      <w:r w:rsidRPr="00A11265">
        <w:rPr>
          <w:rFonts w:asciiTheme="minorHAnsi" w:hAnsiTheme="minorHAnsi"/>
          <w:vertAlign w:val="superscript"/>
        </w:rPr>
        <w:footnoteReference w:id="49"/>
      </w:r>
    </w:p>
    <w:p w14:paraId="1373F0A5" w14:textId="2FA8669B" w:rsidR="002B30B3" w:rsidRPr="00A11265" w:rsidRDefault="002B30B3" w:rsidP="001F613E">
      <w:pPr>
        <w:pStyle w:val="ListParagraph"/>
        <w:numPr>
          <w:ilvl w:val="0"/>
          <w:numId w:val="11"/>
        </w:numPr>
        <w:spacing w:before="200"/>
        <w:ind w:left="426"/>
        <w:rPr>
          <w:rFonts w:cs="Arial"/>
        </w:rPr>
      </w:pPr>
      <w:r w:rsidRPr="00A11265">
        <w:rPr>
          <w:rFonts w:cs="Arial"/>
        </w:rPr>
        <w:t>Contingency raise</w:t>
      </w:r>
      <w:r w:rsidR="00175350">
        <w:rPr>
          <w:rFonts w:cs="Arial"/>
        </w:rPr>
        <w:t xml:space="preserve"> services</w:t>
      </w:r>
      <w:r w:rsidRPr="00A11265">
        <w:rPr>
          <w:rFonts w:cs="Arial"/>
        </w:rPr>
        <w:t xml:space="preserve">, which </w:t>
      </w:r>
      <w:r w:rsidR="00175350">
        <w:rPr>
          <w:rFonts w:cs="Arial"/>
        </w:rPr>
        <w:t>are</w:t>
      </w:r>
      <w:r w:rsidRPr="00A11265">
        <w:rPr>
          <w:rFonts w:cs="Arial"/>
        </w:rPr>
        <w:t xml:space="preserve"> required to manage the loss of the largest generator on the system, </w:t>
      </w:r>
      <w:r w:rsidR="00175350">
        <w:rPr>
          <w:rFonts w:cs="Arial"/>
        </w:rPr>
        <w:t>are</w:t>
      </w:r>
      <w:r w:rsidRPr="00A11265">
        <w:rPr>
          <w:rFonts w:cs="Arial"/>
        </w:rPr>
        <w:t xml:space="preserve"> recovered from generators based on their proportion of total energy production.</w:t>
      </w:r>
    </w:p>
    <w:p w14:paraId="61E3B4DE" w14:textId="16DFF790" w:rsidR="002B30B3" w:rsidRPr="00A11265" w:rsidRDefault="002B30B3" w:rsidP="001F613E">
      <w:pPr>
        <w:pStyle w:val="ListParagraph"/>
        <w:numPr>
          <w:ilvl w:val="0"/>
          <w:numId w:val="11"/>
        </w:numPr>
        <w:spacing w:before="200"/>
        <w:ind w:left="426"/>
        <w:rPr>
          <w:rFonts w:cs="Arial"/>
        </w:rPr>
      </w:pPr>
      <w:r w:rsidRPr="00A11265">
        <w:rPr>
          <w:rFonts w:cs="Arial"/>
        </w:rPr>
        <w:t>Contingency lower</w:t>
      </w:r>
      <w:r w:rsidR="00175350">
        <w:rPr>
          <w:rFonts w:cs="Arial"/>
        </w:rPr>
        <w:t xml:space="preserve"> services</w:t>
      </w:r>
      <w:r w:rsidRPr="00A11265">
        <w:rPr>
          <w:rFonts w:cs="Arial"/>
        </w:rPr>
        <w:t xml:space="preserve">, which </w:t>
      </w:r>
      <w:r w:rsidR="00175350">
        <w:rPr>
          <w:rFonts w:cs="Arial"/>
        </w:rPr>
        <w:t>are</w:t>
      </w:r>
      <w:r w:rsidRPr="00A11265">
        <w:rPr>
          <w:rFonts w:cs="Arial"/>
        </w:rPr>
        <w:t xml:space="preserve"> required to manage the loss of the largest load or transmission element, </w:t>
      </w:r>
      <w:r w:rsidR="00175350">
        <w:rPr>
          <w:rFonts w:cs="Arial"/>
        </w:rPr>
        <w:t>are</w:t>
      </w:r>
      <w:r w:rsidRPr="00A11265">
        <w:rPr>
          <w:rFonts w:cs="Arial"/>
        </w:rPr>
        <w:t xml:space="preserve"> recovered from customers based on their proportion of total energy consumption. </w:t>
      </w:r>
    </w:p>
    <w:p w14:paraId="779E9B10" w14:textId="2922A59A" w:rsidR="002B30B3" w:rsidRPr="00A11265" w:rsidRDefault="002B30B3" w:rsidP="001F613E">
      <w:pPr>
        <w:pStyle w:val="ListParagraph"/>
        <w:numPr>
          <w:ilvl w:val="0"/>
          <w:numId w:val="11"/>
        </w:numPr>
        <w:spacing w:before="200"/>
        <w:ind w:left="426"/>
        <w:rPr>
          <w:rFonts w:cs="Arial"/>
        </w:rPr>
      </w:pPr>
      <w:r w:rsidRPr="00A11265">
        <w:rPr>
          <w:rFonts w:cs="Arial"/>
        </w:rPr>
        <w:t>Regulation</w:t>
      </w:r>
      <w:r w:rsidR="00175350">
        <w:rPr>
          <w:rFonts w:cs="Arial"/>
        </w:rPr>
        <w:t xml:space="preserve"> services</w:t>
      </w:r>
      <w:r w:rsidRPr="00A11265">
        <w:rPr>
          <w:rFonts w:cs="Arial"/>
        </w:rPr>
        <w:t xml:space="preserve">, which are required to correct frequency deviations, are recovered from generators and customers </w:t>
      </w:r>
      <w:r w:rsidR="00175350">
        <w:rPr>
          <w:rFonts w:cs="Arial"/>
        </w:rPr>
        <w:t>that</w:t>
      </w:r>
      <w:r w:rsidRPr="00A11265">
        <w:rPr>
          <w:rFonts w:cs="Arial"/>
        </w:rPr>
        <w:t xml:space="preserve"> contribute to frequency deviations. Generators whose production and customers whose consumption cause</w:t>
      </w:r>
      <w:r w:rsidR="00175350">
        <w:rPr>
          <w:rFonts w:cs="Arial"/>
        </w:rPr>
        <w:t>s</w:t>
      </w:r>
      <w:r w:rsidRPr="00A11265">
        <w:rPr>
          <w:rFonts w:cs="Arial"/>
        </w:rPr>
        <w:t xml:space="preserve"> frequency deviations</w:t>
      </w:r>
      <w:r w:rsidR="00175350">
        <w:rPr>
          <w:rFonts w:cs="Arial"/>
        </w:rPr>
        <w:t>,</w:t>
      </w:r>
      <w:r w:rsidRPr="00A11265">
        <w:rPr>
          <w:rFonts w:cs="Arial"/>
        </w:rPr>
        <w:t xml:space="preserve"> or that do not contribute to their correction</w:t>
      </w:r>
      <w:r w:rsidR="00175350">
        <w:rPr>
          <w:rFonts w:cs="Arial"/>
        </w:rPr>
        <w:t>,</w:t>
      </w:r>
      <w:r w:rsidRPr="00A11265">
        <w:rPr>
          <w:rFonts w:cs="Arial"/>
        </w:rPr>
        <w:t xml:space="preserve"> are allocated higher contribution factors than those that do not cause</w:t>
      </w:r>
      <w:r w:rsidR="00175350">
        <w:rPr>
          <w:rFonts w:cs="Arial"/>
        </w:rPr>
        <w:t>,</w:t>
      </w:r>
      <w:r w:rsidRPr="00A11265">
        <w:rPr>
          <w:rFonts w:cs="Arial"/>
        </w:rPr>
        <w:t xml:space="preserve"> or assist to correct</w:t>
      </w:r>
      <w:r w:rsidR="00175350">
        <w:rPr>
          <w:rFonts w:cs="Arial"/>
        </w:rPr>
        <w:t>,</w:t>
      </w:r>
      <w:r w:rsidRPr="00A11265">
        <w:rPr>
          <w:rFonts w:cs="Arial"/>
        </w:rPr>
        <w:t xml:space="preserve"> frequency deviations.</w:t>
      </w:r>
    </w:p>
    <w:p w14:paraId="521734F5" w14:textId="7946A1DE" w:rsidR="002B30B3" w:rsidRPr="00A11265" w:rsidRDefault="002B30B3" w:rsidP="001F613E">
      <w:pPr>
        <w:pStyle w:val="ListParagraph"/>
        <w:numPr>
          <w:ilvl w:val="0"/>
          <w:numId w:val="11"/>
        </w:numPr>
        <w:spacing w:before="200"/>
        <w:ind w:left="426"/>
        <w:rPr>
          <w:rFonts w:cs="Arial"/>
        </w:rPr>
      </w:pPr>
      <w:r w:rsidRPr="00A11265">
        <w:rPr>
          <w:rFonts w:cs="Arial"/>
        </w:rPr>
        <w:t xml:space="preserve">Network Support </w:t>
      </w:r>
      <w:r w:rsidR="00175350">
        <w:rPr>
          <w:rFonts w:cs="Arial"/>
        </w:rPr>
        <w:t>services</w:t>
      </w:r>
      <w:r w:rsidRPr="00A11265">
        <w:rPr>
          <w:rFonts w:cs="Arial"/>
        </w:rPr>
        <w:t xml:space="preserve"> </w:t>
      </w:r>
      <w:r w:rsidR="00175350">
        <w:rPr>
          <w:rFonts w:cs="Arial"/>
        </w:rPr>
        <w:t>and</w:t>
      </w:r>
      <w:r w:rsidRPr="00A11265">
        <w:rPr>
          <w:rFonts w:cs="Arial"/>
        </w:rPr>
        <w:t xml:space="preserve"> System Restart </w:t>
      </w:r>
      <w:r w:rsidR="00175350">
        <w:rPr>
          <w:rFonts w:cs="Arial"/>
        </w:rPr>
        <w:t>services</w:t>
      </w:r>
      <w:r w:rsidRPr="00A11265">
        <w:rPr>
          <w:rFonts w:cs="Arial"/>
        </w:rPr>
        <w:t xml:space="preserve">, which are required to assist with voltage control </w:t>
      </w:r>
      <w:r w:rsidR="00175350">
        <w:rPr>
          <w:rFonts w:cs="Arial"/>
        </w:rPr>
        <w:t>and</w:t>
      </w:r>
      <w:r w:rsidRPr="00A11265">
        <w:rPr>
          <w:rFonts w:cs="Arial"/>
        </w:rPr>
        <w:t xml:space="preserve"> restoration of the system, and which benefit all system participants, are recovered from all system participants in proportion to their energy production </w:t>
      </w:r>
      <w:r w:rsidR="00175350">
        <w:rPr>
          <w:rFonts w:cs="Arial"/>
        </w:rPr>
        <w:t>and</w:t>
      </w:r>
      <w:r w:rsidRPr="00A11265">
        <w:rPr>
          <w:rFonts w:cs="Arial"/>
        </w:rPr>
        <w:t xml:space="preserve"> consumption.</w:t>
      </w:r>
    </w:p>
    <w:p w14:paraId="29DB607F" w14:textId="77777777" w:rsidR="00311B24" w:rsidRPr="00A11265" w:rsidRDefault="00311B24" w:rsidP="00311B24">
      <w:pPr>
        <w:rPr>
          <w:rFonts w:asciiTheme="minorHAnsi" w:hAnsiTheme="minorHAnsi" w:cs="Arial"/>
        </w:rPr>
      </w:pPr>
      <w:r w:rsidRPr="00A11265">
        <w:rPr>
          <w:rFonts w:asciiTheme="minorHAnsi" w:hAnsiTheme="minorHAnsi" w:cs="Arial"/>
        </w:rPr>
        <w:t>In the WEM, the independent market operator (the Australian Energy Market Operator) allocates the cost of essential system services between market participants on the following basis</w:t>
      </w:r>
      <w:r w:rsidRPr="00A11265">
        <w:rPr>
          <w:rStyle w:val="FootnoteReference"/>
          <w:rFonts w:asciiTheme="minorHAnsi" w:hAnsiTheme="minorHAnsi" w:cs="Arial"/>
        </w:rPr>
        <w:footnoteReference w:id="50"/>
      </w:r>
      <w:r w:rsidRPr="00A11265">
        <w:rPr>
          <w:rFonts w:asciiTheme="minorHAnsi" w:hAnsiTheme="minorHAnsi" w:cs="Arial"/>
        </w:rPr>
        <w:t>:</w:t>
      </w:r>
    </w:p>
    <w:p w14:paraId="6011BF20" w14:textId="4389C692" w:rsidR="00311B24" w:rsidRPr="00A11265" w:rsidRDefault="00311B24" w:rsidP="00311B24">
      <w:pPr>
        <w:pStyle w:val="ListParagraph"/>
        <w:numPr>
          <w:ilvl w:val="0"/>
          <w:numId w:val="11"/>
        </w:numPr>
        <w:spacing w:before="200"/>
        <w:ind w:left="426"/>
        <w:rPr>
          <w:rFonts w:cs="Arial"/>
        </w:rPr>
      </w:pPr>
      <w:r w:rsidRPr="00A11265">
        <w:rPr>
          <w:rFonts w:cs="Arial"/>
        </w:rPr>
        <w:t xml:space="preserve">The monthly cost of load following is allocated amongst market participants in proportion to their monthly share of contributing quantity (metered load and non-scheduled generation). </w:t>
      </w:r>
    </w:p>
    <w:p w14:paraId="23DE2A69" w14:textId="2765ADF3" w:rsidR="00311B24" w:rsidRPr="00A11265" w:rsidRDefault="00311B24" w:rsidP="00311B24">
      <w:pPr>
        <w:pStyle w:val="ListParagraph"/>
        <w:numPr>
          <w:ilvl w:val="0"/>
          <w:numId w:val="11"/>
        </w:numPr>
        <w:spacing w:before="200"/>
        <w:ind w:left="426"/>
        <w:rPr>
          <w:rFonts w:cs="Arial"/>
        </w:rPr>
      </w:pPr>
      <w:r w:rsidRPr="00A11265">
        <w:rPr>
          <w:rFonts w:cs="Arial"/>
        </w:rPr>
        <w:t xml:space="preserve">The monthly cost of spinning reserve is borne by generators in proportion to the deemed risk that the generator imposes on the system, based on the output of the generator in each Trading Interval during the month.  </w:t>
      </w:r>
    </w:p>
    <w:p w14:paraId="1D0DB452" w14:textId="5FD7E41F" w:rsidR="00311B24" w:rsidRPr="00A11265" w:rsidRDefault="00311B24" w:rsidP="00311B24">
      <w:pPr>
        <w:pStyle w:val="ListParagraph"/>
        <w:numPr>
          <w:ilvl w:val="0"/>
          <w:numId w:val="11"/>
        </w:numPr>
        <w:spacing w:before="200"/>
        <w:ind w:left="426"/>
        <w:rPr>
          <w:rFonts w:cs="Arial"/>
        </w:rPr>
      </w:pPr>
      <w:r w:rsidRPr="00A11265">
        <w:rPr>
          <w:rFonts w:cs="Arial"/>
        </w:rPr>
        <w:t>The monthly costs for load rejection reserve, dispatch support and system restart are recovered from market customers in proportion to their monthly metered consumption.</w:t>
      </w:r>
    </w:p>
    <w:p w14:paraId="6A11DFF8" w14:textId="6497B159" w:rsidR="009464A9" w:rsidRPr="00A11265" w:rsidRDefault="009464A9" w:rsidP="00D9724C">
      <w:pPr>
        <w:pStyle w:val="Heading2"/>
        <w:keepNext/>
        <w:rPr>
          <w:lang w:eastAsia="en-AU"/>
        </w:rPr>
      </w:pPr>
      <w:bookmarkStart w:id="198" w:name="_Toc61852409"/>
      <w:bookmarkStart w:id="199" w:name="_Toc61956210"/>
      <w:bookmarkEnd w:id="198"/>
      <w:r w:rsidRPr="00A11265">
        <w:rPr>
          <w:lang w:eastAsia="en-AU"/>
        </w:rPr>
        <w:t>Submissions</w:t>
      </w:r>
      <w:bookmarkEnd w:id="199"/>
    </w:p>
    <w:p w14:paraId="5FB0062F" w14:textId="295416F0" w:rsidR="009464A9" w:rsidRPr="00A11265" w:rsidRDefault="00590D08" w:rsidP="00CB560D">
      <w:pPr>
        <w:rPr>
          <w:rFonts w:asciiTheme="minorHAnsi" w:hAnsiTheme="minorHAnsi" w:cs="Arial"/>
        </w:rPr>
      </w:pPr>
      <w:r w:rsidRPr="00A11265">
        <w:rPr>
          <w:rFonts w:asciiTheme="minorHAnsi" w:hAnsiTheme="minorHAnsi" w:cs="Arial"/>
        </w:rPr>
        <w:t xml:space="preserve">The Issues Paper sought stakeholder views on appropriate bases for the allocation of essential system services costs, alternatives to a </w:t>
      </w:r>
      <w:r w:rsidR="00BC7422">
        <w:rPr>
          <w:rFonts w:asciiTheme="minorHAnsi" w:hAnsiTheme="minorHAnsi" w:cs="Arial"/>
        </w:rPr>
        <w:t>‘</w:t>
      </w:r>
      <w:r w:rsidRPr="00A11265">
        <w:rPr>
          <w:rFonts w:asciiTheme="minorHAnsi" w:hAnsiTheme="minorHAnsi" w:cs="Arial"/>
        </w:rPr>
        <w:t>causer pays</w:t>
      </w:r>
      <w:r w:rsidR="00BC7422">
        <w:rPr>
          <w:rFonts w:asciiTheme="minorHAnsi" w:hAnsiTheme="minorHAnsi" w:cs="Arial"/>
        </w:rPr>
        <w:t>’</w:t>
      </w:r>
      <w:r w:rsidRPr="00A11265">
        <w:rPr>
          <w:rFonts w:asciiTheme="minorHAnsi" w:hAnsiTheme="minorHAnsi" w:cs="Arial"/>
        </w:rPr>
        <w:t xml:space="preserve"> approach, technical barriers</w:t>
      </w:r>
      <w:r w:rsidR="00465717" w:rsidRPr="00A11265">
        <w:rPr>
          <w:rFonts w:asciiTheme="minorHAnsi" w:hAnsiTheme="minorHAnsi" w:cs="Arial"/>
        </w:rPr>
        <w:t>, transitional issues</w:t>
      </w:r>
      <w:r w:rsidRPr="00A11265">
        <w:rPr>
          <w:rFonts w:asciiTheme="minorHAnsi" w:hAnsiTheme="minorHAnsi" w:cs="Arial"/>
        </w:rPr>
        <w:t xml:space="preserve"> and </w:t>
      </w:r>
      <w:r w:rsidR="00465717" w:rsidRPr="00A11265">
        <w:rPr>
          <w:rFonts w:asciiTheme="minorHAnsi" w:hAnsiTheme="minorHAnsi" w:cs="Arial"/>
        </w:rPr>
        <w:t>appropriate</w:t>
      </w:r>
      <w:r w:rsidRPr="00A11265">
        <w:rPr>
          <w:rFonts w:asciiTheme="minorHAnsi" w:hAnsiTheme="minorHAnsi" w:cs="Arial"/>
        </w:rPr>
        <w:t xml:space="preserve"> oversight and regulatory arrangements.</w:t>
      </w:r>
    </w:p>
    <w:p w14:paraId="6D552CB5" w14:textId="6BBC9EF9" w:rsidR="009464A9" w:rsidRPr="00A11265" w:rsidRDefault="00C942C7" w:rsidP="00D9724C">
      <w:pPr>
        <w:pStyle w:val="Heading3"/>
        <w:rPr>
          <w:szCs w:val="24"/>
          <w:lang w:eastAsia="en-AU"/>
        </w:rPr>
      </w:pPr>
      <w:r w:rsidRPr="00A11265">
        <w:rPr>
          <w:szCs w:val="24"/>
          <w:lang w:eastAsia="en-AU"/>
        </w:rPr>
        <w:t>Appropriate bases for the allocation of ESS costs</w:t>
      </w:r>
    </w:p>
    <w:p w14:paraId="76A4D2DC" w14:textId="26B9397E" w:rsidR="00C942C7" w:rsidRPr="00A11265" w:rsidRDefault="00C942C7" w:rsidP="00C942C7">
      <w:pPr>
        <w:rPr>
          <w:rFonts w:asciiTheme="minorHAnsi" w:hAnsiTheme="minorHAnsi" w:cs="Arial"/>
        </w:rPr>
      </w:pPr>
      <w:r w:rsidRPr="00A11265">
        <w:rPr>
          <w:rFonts w:asciiTheme="minorHAnsi" w:hAnsiTheme="minorHAnsi" w:cs="Arial"/>
        </w:rPr>
        <w:t xml:space="preserve">Jacana supported moving towards a causer pays model with the price of </w:t>
      </w:r>
      <w:r w:rsidR="00311B24" w:rsidRPr="00A11265">
        <w:rPr>
          <w:rFonts w:asciiTheme="minorHAnsi" w:hAnsiTheme="minorHAnsi" w:cs="Arial"/>
        </w:rPr>
        <w:t>essential system services</w:t>
      </w:r>
      <w:r w:rsidRPr="00A11265">
        <w:rPr>
          <w:rFonts w:asciiTheme="minorHAnsi" w:hAnsiTheme="minorHAnsi" w:cs="Arial"/>
        </w:rPr>
        <w:t xml:space="preserve"> unbundled and cost reflective in the short term. Jacana and T-Gen noted that a portion of </w:t>
      </w:r>
      <w:r w:rsidR="00311B24" w:rsidRPr="00A11265">
        <w:rPr>
          <w:rFonts w:asciiTheme="minorHAnsi" w:hAnsiTheme="minorHAnsi" w:cs="Arial"/>
        </w:rPr>
        <w:t>essential system services</w:t>
      </w:r>
      <w:r w:rsidRPr="00A11265">
        <w:rPr>
          <w:rFonts w:asciiTheme="minorHAnsi" w:hAnsiTheme="minorHAnsi" w:cs="Arial"/>
        </w:rPr>
        <w:t xml:space="preserve"> costs are usually fixed, reflecting the capacity required to supply services, and therefore support passing through </w:t>
      </w:r>
      <w:r w:rsidR="00311B24" w:rsidRPr="00A11265">
        <w:rPr>
          <w:rFonts w:asciiTheme="minorHAnsi" w:hAnsiTheme="minorHAnsi" w:cs="Arial"/>
        </w:rPr>
        <w:t>essential system services</w:t>
      </w:r>
      <w:r w:rsidRPr="00A11265">
        <w:rPr>
          <w:rFonts w:asciiTheme="minorHAnsi" w:hAnsiTheme="minorHAnsi" w:cs="Arial"/>
        </w:rPr>
        <w:t xml:space="preserve"> charges via a combination of fixed and variable charges.</w:t>
      </w:r>
    </w:p>
    <w:p w14:paraId="2C3A358A" w14:textId="2ADF6B4B" w:rsidR="00C942C7" w:rsidRPr="00A11265" w:rsidRDefault="00C942C7" w:rsidP="00C942C7">
      <w:pPr>
        <w:rPr>
          <w:rFonts w:asciiTheme="minorHAnsi" w:hAnsiTheme="minorHAnsi" w:cs="Arial"/>
        </w:rPr>
      </w:pPr>
      <w:proofErr w:type="spellStart"/>
      <w:r w:rsidRPr="00A11265">
        <w:rPr>
          <w:rFonts w:asciiTheme="minorHAnsi" w:hAnsiTheme="minorHAnsi" w:cs="Arial"/>
        </w:rPr>
        <w:t>Epuron</w:t>
      </w:r>
      <w:proofErr w:type="spellEnd"/>
      <w:r w:rsidRPr="00A11265">
        <w:rPr>
          <w:rFonts w:asciiTheme="minorHAnsi" w:hAnsiTheme="minorHAnsi" w:cs="Arial"/>
        </w:rPr>
        <w:t xml:space="preserve"> also support</w:t>
      </w:r>
      <w:r w:rsidR="00311B24" w:rsidRPr="00A11265">
        <w:rPr>
          <w:rFonts w:asciiTheme="minorHAnsi" w:hAnsiTheme="minorHAnsi" w:cs="Arial"/>
        </w:rPr>
        <w:t>ed</w:t>
      </w:r>
      <w:r w:rsidRPr="00A11265">
        <w:rPr>
          <w:rFonts w:asciiTheme="minorHAnsi" w:hAnsiTheme="minorHAnsi" w:cs="Arial"/>
        </w:rPr>
        <w:t xml:space="preserve"> moving to a causer pays approach.</w:t>
      </w:r>
    </w:p>
    <w:p w14:paraId="5024AD19" w14:textId="664AE178" w:rsidR="00C942C7" w:rsidRPr="00A11265" w:rsidRDefault="00C942C7" w:rsidP="00C942C7">
      <w:pPr>
        <w:rPr>
          <w:rFonts w:asciiTheme="minorHAnsi" w:hAnsiTheme="minorHAnsi" w:cs="Arial"/>
        </w:rPr>
      </w:pPr>
      <w:r w:rsidRPr="00A11265">
        <w:rPr>
          <w:rFonts w:asciiTheme="minorHAnsi" w:hAnsiTheme="minorHAnsi" w:cs="Arial"/>
        </w:rPr>
        <w:lastRenderedPageBreak/>
        <w:t>Sun Cable support</w:t>
      </w:r>
      <w:r w:rsidR="00311B24" w:rsidRPr="00A11265">
        <w:rPr>
          <w:rFonts w:asciiTheme="minorHAnsi" w:hAnsiTheme="minorHAnsi" w:cs="Arial"/>
        </w:rPr>
        <w:t>ed</w:t>
      </w:r>
      <w:r w:rsidRPr="00A11265">
        <w:rPr>
          <w:rFonts w:asciiTheme="minorHAnsi" w:hAnsiTheme="minorHAnsi" w:cs="Arial"/>
        </w:rPr>
        <w:t xml:space="preserve"> the causer pays approach as adopted in the NEM for contingency raise and lower </w:t>
      </w:r>
      <w:r w:rsidR="00311B24" w:rsidRPr="00A11265">
        <w:rPr>
          <w:rFonts w:asciiTheme="minorHAnsi" w:hAnsiTheme="minorHAnsi" w:cs="Arial"/>
        </w:rPr>
        <w:t>services</w:t>
      </w:r>
      <w:r w:rsidRPr="00A11265">
        <w:rPr>
          <w:rFonts w:asciiTheme="minorHAnsi" w:hAnsiTheme="minorHAnsi" w:cs="Arial"/>
        </w:rPr>
        <w:t xml:space="preserve">, network support and system restart, but proposed an alternative approach for regulation </w:t>
      </w:r>
      <w:r w:rsidR="00311B24" w:rsidRPr="00A11265">
        <w:rPr>
          <w:rFonts w:asciiTheme="minorHAnsi" w:hAnsiTheme="minorHAnsi" w:cs="Arial"/>
        </w:rPr>
        <w:t>services</w:t>
      </w:r>
      <w:r w:rsidRPr="00A11265">
        <w:rPr>
          <w:rFonts w:asciiTheme="minorHAnsi" w:hAnsiTheme="minorHAnsi" w:cs="Arial"/>
        </w:rPr>
        <w:t>, as discussed in the next section.</w:t>
      </w:r>
    </w:p>
    <w:p w14:paraId="35A2F3C6" w14:textId="4951C0D6" w:rsidR="009464A9" w:rsidRPr="00A11265" w:rsidRDefault="00C942C7" w:rsidP="00C942C7">
      <w:pPr>
        <w:rPr>
          <w:rFonts w:asciiTheme="minorHAnsi" w:hAnsiTheme="minorHAnsi" w:cs="Arial"/>
        </w:rPr>
      </w:pPr>
      <w:r w:rsidRPr="00A11265">
        <w:rPr>
          <w:rFonts w:asciiTheme="minorHAnsi" w:hAnsiTheme="minorHAnsi" w:cs="Arial"/>
        </w:rPr>
        <w:t>By way of contrast, Eni</w:t>
      </w:r>
      <w:r w:rsidR="00311B24" w:rsidRPr="00A11265">
        <w:rPr>
          <w:rFonts w:asciiTheme="minorHAnsi" w:hAnsiTheme="minorHAnsi" w:cs="Arial"/>
        </w:rPr>
        <w:t xml:space="preserve"> Australia</w:t>
      </w:r>
      <w:r w:rsidRPr="00A11265">
        <w:rPr>
          <w:rFonts w:asciiTheme="minorHAnsi" w:hAnsiTheme="minorHAnsi" w:cs="Arial"/>
        </w:rPr>
        <w:t xml:space="preserve"> is of the view that, given the small scale of the </w:t>
      </w:r>
      <w:r w:rsidR="00311B24" w:rsidRPr="00A11265">
        <w:rPr>
          <w:rFonts w:asciiTheme="minorHAnsi" w:hAnsiTheme="minorHAnsi" w:cs="Arial"/>
        </w:rPr>
        <w:t>Darwin-Katherine system</w:t>
      </w:r>
      <w:r w:rsidRPr="00A11265">
        <w:rPr>
          <w:rFonts w:asciiTheme="minorHAnsi" w:hAnsiTheme="minorHAnsi" w:cs="Arial"/>
        </w:rPr>
        <w:t xml:space="preserve">, the causer pays model should be simplified relative to the models in other markets, fit for purpose, while encouraging the right behaviours from market participants. </w:t>
      </w:r>
      <w:r w:rsidR="00311B24" w:rsidRPr="00A11265">
        <w:rPr>
          <w:rFonts w:asciiTheme="minorHAnsi" w:hAnsiTheme="minorHAnsi" w:cs="Arial"/>
        </w:rPr>
        <w:t>It considered that, g</w:t>
      </w:r>
      <w:r w:rsidRPr="00A11265">
        <w:rPr>
          <w:rFonts w:asciiTheme="minorHAnsi" w:hAnsiTheme="minorHAnsi" w:cs="Arial"/>
        </w:rPr>
        <w:t xml:space="preserve">iven electricity customers fund all the costs of operating a power system, the cost of </w:t>
      </w:r>
      <w:r w:rsidR="00311B24" w:rsidRPr="00A11265">
        <w:rPr>
          <w:rFonts w:asciiTheme="minorHAnsi" w:hAnsiTheme="minorHAnsi" w:cs="Arial"/>
        </w:rPr>
        <w:t>‘</w:t>
      </w:r>
      <w:r w:rsidRPr="00A11265">
        <w:rPr>
          <w:rFonts w:asciiTheme="minorHAnsi" w:hAnsiTheme="minorHAnsi" w:cs="Arial"/>
        </w:rPr>
        <w:t>business as usual</w:t>
      </w:r>
      <w:r w:rsidR="00311B24" w:rsidRPr="00A11265">
        <w:rPr>
          <w:rFonts w:asciiTheme="minorHAnsi" w:hAnsiTheme="minorHAnsi" w:cs="Arial"/>
        </w:rPr>
        <w:t>’ essential system services</w:t>
      </w:r>
      <w:r w:rsidRPr="00A11265">
        <w:rPr>
          <w:rFonts w:asciiTheme="minorHAnsi" w:hAnsiTheme="minorHAnsi" w:cs="Arial"/>
        </w:rPr>
        <w:t xml:space="preserve"> should be funded directly by customers, without any margins applied by parties as the costs are passed through the supply chain. Generators should only pay for </w:t>
      </w:r>
      <w:r w:rsidR="00311B24" w:rsidRPr="00A11265">
        <w:rPr>
          <w:rFonts w:asciiTheme="minorHAnsi" w:hAnsiTheme="minorHAnsi" w:cs="Arial"/>
        </w:rPr>
        <w:t>essential system services</w:t>
      </w:r>
      <w:r w:rsidRPr="00A11265">
        <w:rPr>
          <w:rFonts w:asciiTheme="minorHAnsi" w:hAnsiTheme="minorHAnsi" w:cs="Arial"/>
        </w:rPr>
        <w:t xml:space="preserve"> if they introduce a new credible contingency to the power system that requires higher levels of </w:t>
      </w:r>
      <w:r w:rsidR="00311B24" w:rsidRPr="00A11265">
        <w:rPr>
          <w:rFonts w:asciiTheme="minorHAnsi" w:hAnsiTheme="minorHAnsi" w:cs="Arial"/>
        </w:rPr>
        <w:t>service</w:t>
      </w:r>
      <w:r w:rsidRPr="00A11265">
        <w:rPr>
          <w:rFonts w:asciiTheme="minorHAnsi" w:hAnsiTheme="minorHAnsi" w:cs="Arial"/>
        </w:rPr>
        <w:t>.</w:t>
      </w:r>
    </w:p>
    <w:p w14:paraId="6FB509E8" w14:textId="3454C3B0" w:rsidR="00C942C7" w:rsidRPr="00A11265" w:rsidRDefault="00C942C7" w:rsidP="00D9724C">
      <w:pPr>
        <w:pStyle w:val="Heading3"/>
        <w:rPr>
          <w:szCs w:val="24"/>
          <w:lang w:eastAsia="en-AU"/>
        </w:rPr>
      </w:pPr>
      <w:r w:rsidRPr="00A11265">
        <w:rPr>
          <w:szCs w:val="24"/>
          <w:lang w:eastAsia="en-AU"/>
        </w:rPr>
        <w:t>Alternatives to causer pays</w:t>
      </w:r>
    </w:p>
    <w:p w14:paraId="7BF51533" w14:textId="605FB4F2" w:rsidR="00C942C7" w:rsidRPr="00A11265" w:rsidRDefault="00C942C7" w:rsidP="00C942C7">
      <w:pPr>
        <w:rPr>
          <w:rFonts w:asciiTheme="minorHAnsi" w:hAnsiTheme="minorHAnsi" w:cs="Arial"/>
        </w:rPr>
      </w:pPr>
      <w:r w:rsidRPr="00A11265">
        <w:rPr>
          <w:rFonts w:asciiTheme="minorHAnsi" w:hAnsiTheme="minorHAnsi" w:cs="Arial"/>
        </w:rPr>
        <w:t xml:space="preserve">Sun Cable recommended the following alternative approach for the recovery of regulation </w:t>
      </w:r>
      <w:r w:rsidR="00631CC3" w:rsidRPr="00A11265">
        <w:rPr>
          <w:rFonts w:asciiTheme="minorHAnsi" w:hAnsiTheme="minorHAnsi" w:cs="Arial"/>
        </w:rPr>
        <w:t>essential system services</w:t>
      </w:r>
      <w:r w:rsidRPr="00A11265">
        <w:rPr>
          <w:rFonts w:asciiTheme="minorHAnsi" w:hAnsiTheme="minorHAnsi" w:cs="Arial"/>
        </w:rPr>
        <w:t xml:space="preserve"> costs:</w:t>
      </w:r>
    </w:p>
    <w:p w14:paraId="043B303B" w14:textId="682BFA31" w:rsidR="00C942C7" w:rsidRPr="00A11265" w:rsidRDefault="00C942C7" w:rsidP="001F613E">
      <w:pPr>
        <w:pStyle w:val="ListParagraph"/>
        <w:numPr>
          <w:ilvl w:val="0"/>
          <w:numId w:val="11"/>
        </w:numPr>
        <w:spacing w:before="200"/>
        <w:ind w:left="426"/>
        <w:rPr>
          <w:rFonts w:cs="Arial"/>
        </w:rPr>
      </w:pPr>
      <w:r w:rsidRPr="00A11265">
        <w:rPr>
          <w:rFonts w:cs="Arial"/>
        </w:rPr>
        <w:t xml:space="preserve">Generators </w:t>
      </w:r>
      <w:r w:rsidR="00631CC3" w:rsidRPr="00A11265">
        <w:rPr>
          <w:rFonts w:cs="Arial"/>
        </w:rPr>
        <w:t>—</w:t>
      </w:r>
      <w:r w:rsidRPr="00A11265">
        <w:rPr>
          <w:rFonts w:cs="Arial"/>
        </w:rPr>
        <w:t xml:space="preserve"> drawing on the existing </w:t>
      </w:r>
      <w:r w:rsidR="00631CC3" w:rsidRPr="00A11265">
        <w:rPr>
          <w:rFonts w:cs="Arial"/>
        </w:rPr>
        <w:t>Generator Performance Standards (</w:t>
      </w:r>
      <w:r w:rsidRPr="00A11265">
        <w:rPr>
          <w:rFonts w:cs="Arial"/>
        </w:rPr>
        <w:t>GPS</w:t>
      </w:r>
      <w:r w:rsidR="00631CC3" w:rsidRPr="00A11265">
        <w:rPr>
          <w:rFonts w:cs="Arial"/>
        </w:rPr>
        <w:t>)</w:t>
      </w:r>
      <w:r w:rsidRPr="00A11265">
        <w:rPr>
          <w:rFonts w:cs="Arial"/>
        </w:rPr>
        <w:t>, generators contract with third parties so that their total impact on the grid (across a number of sites) is effectively non</w:t>
      </w:r>
      <w:r w:rsidR="00631CC3" w:rsidRPr="00A11265">
        <w:rPr>
          <w:rFonts w:cs="Arial"/>
        </w:rPr>
        <w:noBreakHyphen/>
      </w:r>
      <w:r w:rsidRPr="00A11265">
        <w:rPr>
          <w:rFonts w:cs="Arial"/>
        </w:rPr>
        <w:t>existent. If these third party suppliers fail to provide the services required, any fees or charges resulting from the overall impact on the grid are passed on to these suppliers. Sun Cable refers to this as the hybrid causer-pays approach.</w:t>
      </w:r>
    </w:p>
    <w:p w14:paraId="6DB5EDB8" w14:textId="7A2A26DA" w:rsidR="00C942C7" w:rsidRPr="00A11265" w:rsidRDefault="00C942C7" w:rsidP="001F613E">
      <w:pPr>
        <w:pStyle w:val="ListParagraph"/>
        <w:numPr>
          <w:ilvl w:val="0"/>
          <w:numId w:val="11"/>
        </w:numPr>
        <w:spacing w:before="200"/>
        <w:ind w:left="426"/>
        <w:rPr>
          <w:rFonts w:cs="Arial"/>
        </w:rPr>
      </w:pPr>
      <w:r w:rsidRPr="00A11265">
        <w:rPr>
          <w:rFonts w:cs="Arial"/>
        </w:rPr>
        <w:t xml:space="preserve">Loads and distributed energy resources (DER) </w:t>
      </w:r>
      <w:r w:rsidR="0099483B" w:rsidRPr="00A11265">
        <w:rPr>
          <w:rFonts w:cs="Arial"/>
        </w:rPr>
        <w:t>—</w:t>
      </w:r>
      <w:r w:rsidRPr="00A11265">
        <w:rPr>
          <w:rFonts w:cs="Arial"/>
        </w:rPr>
        <w:t xml:space="preserve"> the concept of causer pays falls on the market participant (i.e. the retailer or large industrial off-taker):</w:t>
      </w:r>
    </w:p>
    <w:p w14:paraId="776DA513" w14:textId="3E217F78" w:rsidR="00C942C7" w:rsidRPr="00A11265" w:rsidRDefault="00C942C7" w:rsidP="00F51F16">
      <w:pPr>
        <w:pStyle w:val="ListParagraph"/>
        <w:numPr>
          <w:ilvl w:val="1"/>
          <w:numId w:val="11"/>
        </w:numPr>
        <w:spacing w:before="200"/>
        <w:rPr>
          <w:rFonts w:cs="Arial"/>
        </w:rPr>
      </w:pPr>
      <w:r w:rsidRPr="00A11265">
        <w:rPr>
          <w:rFonts w:cs="Arial"/>
        </w:rPr>
        <w:t xml:space="preserve">Loads and DER above a certain threshold (100 kW) </w:t>
      </w:r>
      <w:r w:rsidR="0099483B" w:rsidRPr="00A11265">
        <w:rPr>
          <w:rFonts w:cs="Arial"/>
        </w:rPr>
        <w:t>—</w:t>
      </w:r>
      <w:r w:rsidRPr="00A11265">
        <w:rPr>
          <w:rFonts w:cs="Arial"/>
        </w:rPr>
        <w:t xml:space="preserve"> can be used to ‘net off’ grid impacts via the direct-contracting causer pays system</w:t>
      </w:r>
    </w:p>
    <w:p w14:paraId="4462C635" w14:textId="4A1EAD1A" w:rsidR="00C942C7" w:rsidRPr="00A11265" w:rsidRDefault="00C942C7" w:rsidP="00F51F16">
      <w:pPr>
        <w:pStyle w:val="ListParagraph"/>
        <w:numPr>
          <w:ilvl w:val="1"/>
          <w:numId w:val="11"/>
        </w:numPr>
        <w:spacing w:before="200"/>
        <w:rPr>
          <w:rFonts w:cs="Arial"/>
        </w:rPr>
      </w:pPr>
      <w:r w:rsidRPr="00A11265">
        <w:rPr>
          <w:rFonts w:cs="Arial"/>
        </w:rPr>
        <w:t xml:space="preserve">Loads and DER with smaller capacities </w:t>
      </w:r>
      <w:r w:rsidR="0099483B" w:rsidRPr="00A11265">
        <w:rPr>
          <w:rFonts w:cs="Arial"/>
        </w:rPr>
        <w:t>—</w:t>
      </w:r>
      <w:r w:rsidRPr="00A11265">
        <w:rPr>
          <w:rFonts w:cs="Arial"/>
        </w:rPr>
        <w:t xml:space="preserve"> aggregated at the distribution level with grid impacts pro</w:t>
      </w:r>
      <w:r w:rsidR="00631CC3" w:rsidRPr="00A11265">
        <w:rPr>
          <w:rFonts w:cs="Arial"/>
        </w:rPr>
        <w:noBreakHyphen/>
      </w:r>
      <w:r w:rsidRPr="00A11265">
        <w:rPr>
          <w:rFonts w:cs="Arial"/>
        </w:rPr>
        <w:t>rated across consumed / generated volumes across the distribution sector.</w:t>
      </w:r>
    </w:p>
    <w:p w14:paraId="20A55B9E" w14:textId="15E3AB05" w:rsidR="00C942C7" w:rsidRPr="00A11265" w:rsidRDefault="00C942C7" w:rsidP="00C942C7">
      <w:pPr>
        <w:rPr>
          <w:rFonts w:asciiTheme="minorHAnsi" w:hAnsiTheme="minorHAnsi" w:cs="Arial"/>
        </w:rPr>
      </w:pPr>
      <w:r w:rsidRPr="00A11265">
        <w:rPr>
          <w:rFonts w:asciiTheme="minorHAnsi" w:hAnsiTheme="minorHAnsi" w:cs="Arial"/>
        </w:rPr>
        <w:t>As discussed above, Eni</w:t>
      </w:r>
      <w:r w:rsidR="000020F2" w:rsidRPr="00A11265">
        <w:rPr>
          <w:rFonts w:asciiTheme="minorHAnsi" w:hAnsiTheme="minorHAnsi" w:cs="Arial"/>
        </w:rPr>
        <w:t xml:space="preserve"> Australia</w:t>
      </w:r>
      <w:r w:rsidRPr="00A11265">
        <w:rPr>
          <w:rFonts w:asciiTheme="minorHAnsi" w:hAnsiTheme="minorHAnsi" w:cs="Arial"/>
        </w:rPr>
        <w:t xml:space="preserve"> is of the view that, given that electricity customers should fund all the costs of operating a power system, retailers (representing cust</w:t>
      </w:r>
      <w:r w:rsidR="00135EB3" w:rsidRPr="00A11265">
        <w:rPr>
          <w:rFonts w:asciiTheme="minorHAnsi" w:hAnsiTheme="minorHAnsi" w:cs="Arial"/>
        </w:rPr>
        <w:t>omers) should be charged for essential system services</w:t>
      </w:r>
      <w:r w:rsidRPr="00A11265">
        <w:rPr>
          <w:rFonts w:asciiTheme="minorHAnsi" w:hAnsiTheme="minorHAnsi" w:cs="Arial"/>
        </w:rPr>
        <w:t xml:space="preserve"> unless there is justification to charge them to some other party. </w:t>
      </w:r>
      <w:r w:rsidR="00631CC3" w:rsidRPr="00A11265">
        <w:rPr>
          <w:rFonts w:asciiTheme="minorHAnsi" w:hAnsiTheme="minorHAnsi" w:cs="Arial"/>
        </w:rPr>
        <w:t>Eni Australia considered the</w:t>
      </w:r>
      <w:r w:rsidRPr="00A11265">
        <w:rPr>
          <w:rFonts w:asciiTheme="minorHAnsi" w:hAnsiTheme="minorHAnsi" w:cs="Arial"/>
        </w:rPr>
        <w:t xml:space="preserve"> only circumstance under which this could be justified is in the case of a contingency raise service if a generator introduces a new credible contingency that is greater than is currently being used.</w:t>
      </w:r>
    </w:p>
    <w:p w14:paraId="486360AE" w14:textId="36F8DDFD" w:rsidR="00C942C7" w:rsidRPr="00A11265" w:rsidRDefault="00C942C7" w:rsidP="00C942C7">
      <w:pPr>
        <w:rPr>
          <w:rFonts w:asciiTheme="minorHAnsi" w:hAnsiTheme="minorHAnsi" w:cs="Arial"/>
        </w:rPr>
      </w:pPr>
      <w:r w:rsidRPr="00A11265">
        <w:rPr>
          <w:rFonts w:asciiTheme="minorHAnsi" w:hAnsiTheme="minorHAnsi" w:cs="Arial"/>
        </w:rPr>
        <w:t xml:space="preserve">T-Gen proposed an alternative model to the causer pays approach which would be a continuation of the current model of centralised supply of </w:t>
      </w:r>
      <w:r w:rsidR="00631CC3" w:rsidRPr="00A11265">
        <w:rPr>
          <w:rFonts w:asciiTheme="minorHAnsi" w:hAnsiTheme="minorHAnsi" w:cs="Arial"/>
        </w:rPr>
        <w:t>essential system services</w:t>
      </w:r>
      <w:r w:rsidRPr="00A11265">
        <w:rPr>
          <w:rFonts w:asciiTheme="minorHAnsi" w:hAnsiTheme="minorHAnsi" w:cs="Arial"/>
        </w:rPr>
        <w:t xml:space="preserve"> by T-Gen, with the </w:t>
      </w:r>
      <w:r w:rsidR="00631CC3" w:rsidRPr="00A11265">
        <w:rPr>
          <w:rFonts w:asciiTheme="minorHAnsi" w:hAnsiTheme="minorHAnsi" w:cs="Arial"/>
        </w:rPr>
        <w:t>services</w:t>
      </w:r>
      <w:r w:rsidRPr="00A11265">
        <w:rPr>
          <w:rFonts w:asciiTheme="minorHAnsi" w:hAnsiTheme="minorHAnsi" w:cs="Arial"/>
        </w:rPr>
        <w:t xml:space="preserve"> being more clearly identified and procured to enable </w:t>
      </w:r>
      <w:r w:rsidR="00631CC3" w:rsidRPr="00A11265">
        <w:rPr>
          <w:rFonts w:asciiTheme="minorHAnsi" w:hAnsiTheme="minorHAnsi" w:cs="Arial"/>
        </w:rPr>
        <w:t>‘</w:t>
      </w:r>
      <w:r w:rsidRPr="00A11265">
        <w:rPr>
          <w:rFonts w:asciiTheme="minorHAnsi" w:hAnsiTheme="minorHAnsi" w:cs="Arial"/>
        </w:rPr>
        <w:t>asset improvement</w:t>
      </w:r>
      <w:r w:rsidR="00631CC3" w:rsidRPr="00A11265">
        <w:rPr>
          <w:rFonts w:asciiTheme="minorHAnsi" w:hAnsiTheme="minorHAnsi" w:cs="Arial"/>
        </w:rPr>
        <w:t>’</w:t>
      </w:r>
      <w:r w:rsidRPr="00A11265">
        <w:rPr>
          <w:rFonts w:asciiTheme="minorHAnsi" w:hAnsiTheme="minorHAnsi" w:cs="Arial"/>
        </w:rPr>
        <w:t xml:space="preserve"> in the future, and payment for some of the </w:t>
      </w:r>
      <w:r w:rsidR="00631CC3" w:rsidRPr="00A11265">
        <w:rPr>
          <w:rFonts w:asciiTheme="minorHAnsi" w:hAnsiTheme="minorHAnsi" w:cs="Arial"/>
        </w:rPr>
        <w:t>essential system services</w:t>
      </w:r>
      <w:r w:rsidRPr="00A11265">
        <w:rPr>
          <w:rFonts w:asciiTheme="minorHAnsi" w:hAnsiTheme="minorHAnsi" w:cs="Arial"/>
        </w:rPr>
        <w:t xml:space="preserve"> made by the Network Operator.</w:t>
      </w:r>
    </w:p>
    <w:p w14:paraId="35852C12" w14:textId="313920A2" w:rsidR="00C942C7" w:rsidRPr="00A11265" w:rsidRDefault="00C942C7" w:rsidP="00D9724C">
      <w:pPr>
        <w:pStyle w:val="Heading3"/>
        <w:rPr>
          <w:szCs w:val="24"/>
          <w:lang w:eastAsia="en-AU"/>
        </w:rPr>
      </w:pPr>
      <w:r w:rsidRPr="00A11265">
        <w:rPr>
          <w:szCs w:val="24"/>
          <w:lang w:eastAsia="en-AU"/>
        </w:rPr>
        <w:t>Technical barriers</w:t>
      </w:r>
    </w:p>
    <w:p w14:paraId="4F644676" w14:textId="77777777" w:rsidR="00631CC3" w:rsidRPr="00A11265" w:rsidRDefault="00C942C7" w:rsidP="00C942C7">
      <w:pPr>
        <w:rPr>
          <w:rFonts w:asciiTheme="minorHAnsi" w:hAnsiTheme="minorHAnsi" w:cs="Arial"/>
        </w:rPr>
      </w:pPr>
      <w:r w:rsidRPr="00A11265">
        <w:rPr>
          <w:rFonts w:asciiTheme="minorHAnsi" w:hAnsiTheme="minorHAnsi" w:cs="Arial"/>
        </w:rPr>
        <w:t>T-Gen identified two technical barriers to moving to a causer pays approach</w:t>
      </w:r>
      <w:r w:rsidR="00631CC3" w:rsidRPr="00A11265">
        <w:rPr>
          <w:rFonts w:asciiTheme="minorHAnsi" w:hAnsiTheme="minorHAnsi" w:cs="Arial"/>
        </w:rPr>
        <w:t>:</w:t>
      </w:r>
    </w:p>
    <w:p w14:paraId="32F018AF" w14:textId="0833B72D" w:rsidR="00631CC3" w:rsidRPr="00A23B49" w:rsidRDefault="00C942C7" w:rsidP="00A23B49">
      <w:pPr>
        <w:pStyle w:val="ListParagraph"/>
        <w:numPr>
          <w:ilvl w:val="0"/>
          <w:numId w:val="11"/>
        </w:numPr>
        <w:spacing w:before="200"/>
        <w:ind w:left="426"/>
        <w:rPr>
          <w:rFonts w:cs="Arial"/>
        </w:rPr>
      </w:pPr>
      <w:r w:rsidRPr="00A23B49">
        <w:rPr>
          <w:rFonts w:cs="Arial"/>
        </w:rPr>
        <w:t>the ability to identify the causer where accumulation meters are still in use</w:t>
      </w:r>
    </w:p>
    <w:p w14:paraId="1A25F756" w14:textId="4306F750" w:rsidR="00C942C7" w:rsidRPr="00A23B49" w:rsidRDefault="00C942C7" w:rsidP="00A23B49">
      <w:pPr>
        <w:pStyle w:val="ListParagraph"/>
        <w:numPr>
          <w:ilvl w:val="0"/>
          <w:numId w:val="11"/>
        </w:numPr>
        <w:spacing w:before="200"/>
        <w:ind w:left="426"/>
        <w:rPr>
          <w:rFonts w:cs="Arial"/>
        </w:rPr>
      </w:pPr>
      <w:proofErr w:type="gramStart"/>
      <w:r w:rsidRPr="00A23B49">
        <w:rPr>
          <w:rFonts w:cs="Arial"/>
        </w:rPr>
        <w:t>the</w:t>
      </w:r>
      <w:proofErr w:type="gramEnd"/>
      <w:r w:rsidRPr="00A23B49">
        <w:rPr>
          <w:rFonts w:cs="Arial"/>
        </w:rPr>
        <w:t xml:space="preserve"> ability to prioritise the service required at any point (which service is most needed, and why).</w:t>
      </w:r>
    </w:p>
    <w:p w14:paraId="3D8E5265" w14:textId="71F9902E" w:rsidR="00C942C7" w:rsidRPr="00A11265" w:rsidRDefault="00C942C7" w:rsidP="00C942C7">
      <w:pPr>
        <w:rPr>
          <w:rFonts w:asciiTheme="minorHAnsi" w:hAnsiTheme="minorHAnsi" w:cs="Arial"/>
        </w:rPr>
      </w:pPr>
      <w:r w:rsidRPr="00A11265">
        <w:rPr>
          <w:rFonts w:asciiTheme="minorHAnsi" w:hAnsiTheme="minorHAnsi" w:cs="Arial"/>
        </w:rPr>
        <w:t>Eni</w:t>
      </w:r>
      <w:r w:rsidR="00631CC3" w:rsidRPr="00A11265">
        <w:rPr>
          <w:rFonts w:asciiTheme="minorHAnsi" w:hAnsiTheme="minorHAnsi" w:cs="Arial"/>
        </w:rPr>
        <w:t xml:space="preserve"> Australia</w:t>
      </w:r>
      <w:r w:rsidRPr="00A11265">
        <w:rPr>
          <w:rFonts w:asciiTheme="minorHAnsi" w:hAnsiTheme="minorHAnsi" w:cs="Arial"/>
        </w:rPr>
        <w:t xml:space="preserve"> identified </w:t>
      </w:r>
      <w:r w:rsidR="00631CC3" w:rsidRPr="00A11265">
        <w:rPr>
          <w:rFonts w:asciiTheme="minorHAnsi" w:hAnsiTheme="minorHAnsi" w:cs="Arial"/>
        </w:rPr>
        <w:t>a</w:t>
      </w:r>
      <w:r w:rsidRPr="00A11265">
        <w:rPr>
          <w:rFonts w:asciiTheme="minorHAnsi" w:hAnsiTheme="minorHAnsi" w:cs="Arial"/>
        </w:rPr>
        <w:t xml:space="preserve"> significant overlap between the </w:t>
      </w:r>
      <w:r w:rsidR="00631CC3" w:rsidRPr="00A11265">
        <w:rPr>
          <w:rFonts w:asciiTheme="minorHAnsi" w:hAnsiTheme="minorHAnsi" w:cs="Arial"/>
        </w:rPr>
        <w:t>essential system services</w:t>
      </w:r>
      <w:r w:rsidRPr="00A11265">
        <w:rPr>
          <w:rFonts w:asciiTheme="minorHAnsi" w:hAnsiTheme="minorHAnsi" w:cs="Arial"/>
        </w:rPr>
        <w:t xml:space="preserve"> and the mandatory provisions on new generators as a technical barrier. It found it difficult to see how services that are mandated can then be remunerated and/or incentivised, and was of the view that if a legacy plant is currently providing </w:t>
      </w:r>
      <w:r w:rsidR="00631CC3" w:rsidRPr="00A11265">
        <w:rPr>
          <w:rFonts w:asciiTheme="minorHAnsi" w:hAnsiTheme="minorHAnsi" w:cs="Arial"/>
        </w:rPr>
        <w:t>essential system services</w:t>
      </w:r>
      <w:r w:rsidRPr="00A11265">
        <w:rPr>
          <w:rFonts w:asciiTheme="minorHAnsi" w:hAnsiTheme="minorHAnsi" w:cs="Arial"/>
        </w:rPr>
        <w:t>, it should continue to provide these services as if they were new plant where these provisions are mandated.</w:t>
      </w:r>
    </w:p>
    <w:p w14:paraId="70049574" w14:textId="114D2924" w:rsidR="00C942C7" w:rsidRPr="00A11265" w:rsidRDefault="00C942C7" w:rsidP="009464A9">
      <w:pPr>
        <w:rPr>
          <w:rFonts w:asciiTheme="minorHAnsi" w:hAnsiTheme="minorHAnsi" w:cs="Arial"/>
        </w:rPr>
      </w:pPr>
      <w:r w:rsidRPr="00A11265">
        <w:rPr>
          <w:rFonts w:asciiTheme="minorHAnsi" w:hAnsiTheme="minorHAnsi" w:cs="Arial"/>
        </w:rPr>
        <w:lastRenderedPageBreak/>
        <w:t>Sun Cable identified that the hybrid causer-pays approach that it proposed requires live monitoring of any participating generators or loads, with the required monitoring and management</w:t>
      </w:r>
      <w:r w:rsidR="00B42B29" w:rsidRPr="00A11265">
        <w:rPr>
          <w:rFonts w:asciiTheme="minorHAnsi" w:hAnsiTheme="minorHAnsi" w:cs="Arial"/>
        </w:rPr>
        <w:t xml:space="preserve"> tools available off</w:t>
      </w:r>
      <w:r w:rsidR="00631CC3" w:rsidRPr="00A11265">
        <w:rPr>
          <w:rFonts w:asciiTheme="minorHAnsi" w:hAnsiTheme="minorHAnsi" w:cs="Arial"/>
        </w:rPr>
        <w:noBreakHyphen/>
      </w:r>
      <w:r w:rsidR="00B42B29" w:rsidRPr="00A11265">
        <w:rPr>
          <w:rFonts w:asciiTheme="minorHAnsi" w:hAnsiTheme="minorHAnsi" w:cs="Arial"/>
        </w:rPr>
        <w:t>the</w:t>
      </w:r>
      <w:r w:rsidR="00631CC3" w:rsidRPr="00A11265">
        <w:rPr>
          <w:rFonts w:asciiTheme="minorHAnsi" w:hAnsiTheme="minorHAnsi" w:cs="Arial"/>
        </w:rPr>
        <w:noBreakHyphen/>
      </w:r>
      <w:r w:rsidR="00B42B29" w:rsidRPr="00A11265">
        <w:rPr>
          <w:rFonts w:asciiTheme="minorHAnsi" w:hAnsiTheme="minorHAnsi" w:cs="Arial"/>
        </w:rPr>
        <w:t>shelf.</w:t>
      </w:r>
    </w:p>
    <w:p w14:paraId="7AE5F648" w14:textId="4512B197" w:rsidR="00C942C7" w:rsidRPr="00A11265" w:rsidRDefault="00C942C7" w:rsidP="00D9724C">
      <w:pPr>
        <w:pStyle w:val="Heading3"/>
        <w:rPr>
          <w:szCs w:val="24"/>
          <w:lang w:eastAsia="en-AU"/>
        </w:rPr>
      </w:pPr>
      <w:r w:rsidRPr="00A11265">
        <w:rPr>
          <w:szCs w:val="24"/>
          <w:lang w:eastAsia="en-AU"/>
        </w:rPr>
        <w:t>Transitional issues</w:t>
      </w:r>
    </w:p>
    <w:p w14:paraId="6A1FC257" w14:textId="77777777" w:rsidR="00C942C7" w:rsidRPr="00A11265" w:rsidRDefault="00C942C7" w:rsidP="00C942C7">
      <w:pPr>
        <w:rPr>
          <w:rFonts w:asciiTheme="minorHAnsi" w:hAnsiTheme="minorHAnsi" w:cs="Arial"/>
        </w:rPr>
      </w:pPr>
      <w:r w:rsidRPr="00A11265">
        <w:rPr>
          <w:rFonts w:asciiTheme="minorHAnsi" w:hAnsiTheme="minorHAnsi" w:cs="Arial"/>
        </w:rPr>
        <w:t>T-Gen identified a number of transitional issues, including:</w:t>
      </w:r>
    </w:p>
    <w:p w14:paraId="5F6F6D54" w14:textId="72830FD2" w:rsidR="00C942C7" w:rsidRPr="00A11265" w:rsidRDefault="00C942C7" w:rsidP="001F613E">
      <w:pPr>
        <w:pStyle w:val="ListParagraph"/>
        <w:numPr>
          <w:ilvl w:val="0"/>
          <w:numId w:val="11"/>
        </w:numPr>
        <w:spacing w:before="200"/>
        <w:ind w:left="426"/>
        <w:rPr>
          <w:rFonts w:cs="Arial"/>
        </w:rPr>
      </w:pPr>
      <w:r w:rsidRPr="00A11265">
        <w:rPr>
          <w:rFonts w:cs="Arial"/>
        </w:rPr>
        <w:t>capital investment required</w:t>
      </w:r>
    </w:p>
    <w:p w14:paraId="50C214AB" w14:textId="6AC6ABB9" w:rsidR="00C942C7" w:rsidRPr="00A11265" w:rsidRDefault="00C942C7" w:rsidP="001F613E">
      <w:pPr>
        <w:pStyle w:val="ListParagraph"/>
        <w:numPr>
          <w:ilvl w:val="0"/>
          <w:numId w:val="11"/>
        </w:numPr>
        <w:spacing w:before="200"/>
        <w:ind w:left="426"/>
        <w:rPr>
          <w:rFonts w:cs="Arial"/>
        </w:rPr>
      </w:pPr>
      <w:r w:rsidRPr="00A11265">
        <w:rPr>
          <w:rFonts w:cs="Arial"/>
        </w:rPr>
        <w:t xml:space="preserve">the settlement process </w:t>
      </w:r>
      <w:r w:rsidR="00136B64" w:rsidRPr="00A11265">
        <w:rPr>
          <w:rFonts w:cs="Arial"/>
        </w:rPr>
        <w:t>—</w:t>
      </w:r>
      <w:r w:rsidRPr="00A11265">
        <w:rPr>
          <w:rFonts w:cs="Arial"/>
        </w:rPr>
        <w:t xml:space="preserve"> evidence of the need and supply of </w:t>
      </w:r>
      <w:r w:rsidR="00136B64" w:rsidRPr="00A11265">
        <w:rPr>
          <w:rFonts w:cs="Arial"/>
        </w:rPr>
        <w:t>essential system services</w:t>
      </w:r>
    </w:p>
    <w:p w14:paraId="409FC634" w14:textId="3A4F3E7C" w:rsidR="00C942C7" w:rsidRPr="00A11265" w:rsidRDefault="00C942C7" w:rsidP="001F613E">
      <w:pPr>
        <w:pStyle w:val="ListParagraph"/>
        <w:numPr>
          <w:ilvl w:val="0"/>
          <w:numId w:val="11"/>
        </w:numPr>
        <w:spacing w:before="200"/>
        <w:ind w:left="426"/>
        <w:rPr>
          <w:rFonts w:cs="Arial"/>
        </w:rPr>
      </w:pPr>
      <w:r w:rsidRPr="00A11265">
        <w:rPr>
          <w:rFonts w:cs="Arial"/>
        </w:rPr>
        <w:t>calculation of losses to the meter / generation connection point</w:t>
      </w:r>
    </w:p>
    <w:p w14:paraId="4C8389D0" w14:textId="1AB3103D" w:rsidR="00C942C7" w:rsidRPr="00A11265" w:rsidRDefault="00C942C7" w:rsidP="001F613E">
      <w:pPr>
        <w:pStyle w:val="ListParagraph"/>
        <w:numPr>
          <w:ilvl w:val="0"/>
          <w:numId w:val="11"/>
        </w:numPr>
        <w:spacing w:before="200"/>
        <w:ind w:left="426"/>
        <w:rPr>
          <w:rFonts w:cs="Arial"/>
        </w:rPr>
      </w:pPr>
      <w:proofErr w:type="gramStart"/>
      <w:r w:rsidRPr="00A11265">
        <w:rPr>
          <w:rFonts w:cs="Arial"/>
        </w:rPr>
        <w:t>ability</w:t>
      </w:r>
      <w:proofErr w:type="gramEnd"/>
      <w:r w:rsidRPr="00A11265">
        <w:rPr>
          <w:rFonts w:cs="Arial"/>
        </w:rPr>
        <w:t xml:space="preserve"> for the centralised supply of</w:t>
      </w:r>
      <w:r w:rsidR="004B61FB" w:rsidRPr="00A11265">
        <w:rPr>
          <w:rFonts w:cs="Arial"/>
        </w:rPr>
        <w:t xml:space="preserve"> essential system services</w:t>
      </w:r>
      <w:r w:rsidRPr="00A11265">
        <w:rPr>
          <w:rFonts w:cs="Arial"/>
        </w:rPr>
        <w:t xml:space="preserve"> to generators under the Network Technical Code and the </w:t>
      </w:r>
      <w:r w:rsidR="004B61FB" w:rsidRPr="00A11265">
        <w:rPr>
          <w:rFonts w:cs="Arial"/>
        </w:rPr>
        <w:t>SCTC</w:t>
      </w:r>
      <w:r w:rsidRPr="00A11265">
        <w:rPr>
          <w:rFonts w:cs="Arial"/>
        </w:rPr>
        <w:t>.</w:t>
      </w:r>
    </w:p>
    <w:p w14:paraId="4A697B1E" w14:textId="6282C4EE" w:rsidR="00C942C7" w:rsidRPr="00A11265" w:rsidRDefault="00C942C7" w:rsidP="009464A9">
      <w:pPr>
        <w:rPr>
          <w:rFonts w:asciiTheme="minorHAnsi" w:hAnsiTheme="minorHAnsi" w:cs="Arial"/>
        </w:rPr>
      </w:pPr>
      <w:r w:rsidRPr="00A11265">
        <w:rPr>
          <w:rFonts w:asciiTheme="minorHAnsi" w:hAnsiTheme="minorHAnsi" w:cs="Arial"/>
        </w:rPr>
        <w:t xml:space="preserve">Sun Cable identified that, under the hybrid causer-pays approach it proposed, system participants over a given capacity threshold would be required to install high-frequency SCADA monitoring equipment and enter into contracts with potential </w:t>
      </w:r>
      <w:r w:rsidR="004B61FB" w:rsidRPr="00A11265">
        <w:rPr>
          <w:rFonts w:asciiTheme="minorHAnsi" w:hAnsiTheme="minorHAnsi" w:cs="Arial"/>
        </w:rPr>
        <w:t>essential system services</w:t>
      </w:r>
      <w:r w:rsidRPr="00A11265">
        <w:rPr>
          <w:rFonts w:asciiTheme="minorHAnsi" w:hAnsiTheme="minorHAnsi" w:cs="Arial"/>
        </w:rPr>
        <w:t xml:space="preserve"> providers, or install equipment to ensure a</w:t>
      </w:r>
      <w:r w:rsidR="00B42B29" w:rsidRPr="00A11265">
        <w:rPr>
          <w:rFonts w:asciiTheme="minorHAnsi" w:hAnsiTheme="minorHAnsi" w:cs="Arial"/>
        </w:rPr>
        <w:t xml:space="preserve"> ‘net zero’ impact on the grid.</w:t>
      </w:r>
    </w:p>
    <w:p w14:paraId="20587A60" w14:textId="4F259640" w:rsidR="00C942C7" w:rsidRPr="00A11265" w:rsidRDefault="00C942C7" w:rsidP="00D9724C">
      <w:pPr>
        <w:pStyle w:val="Heading3"/>
        <w:rPr>
          <w:szCs w:val="24"/>
          <w:lang w:eastAsia="en-AU"/>
        </w:rPr>
      </w:pPr>
      <w:r w:rsidRPr="00A11265">
        <w:rPr>
          <w:szCs w:val="24"/>
          <w:lang w:eastAsia="en-AU"/>
        </w:rPr>
        <w:t>Oversight and regulatory arrangements</w:t>
      </w:r>
    </w:p>
    <w:p w14:paraId="3380AD03" w14:textId="53563E1A" w:rsidR="00C942C7" w:rsidRPr="00A11265" w:rsidRDefault="00C942C7" w:rsidP="00C942C7">
      <w:pPr>
        <w:rPr>
          <w:rFonts w:asciiTheme="minorHAnsi" w:hAnsiTheme="minorHAnsi" w:cs="Arial"/>
        </w:rPr>
      </w:pPr>
      <w:r w:rsidRPr="00A11265">
        <w:rPr>
          <w:rFonts w:asciiTheme="minorHAnsi" w:hAnsiTheme="minorHAnsi" w:cs="Arial"/>
        </w:rPr>
        <w:t xml:space="preserve">T-Gen </w:t>
      </w:r>
      <w:r w:rsidR="004B61FB" w:rsidRPr="00A11265">
        <w:rPr>
          <w:rFonts w:asciiTheme="minorHAnsi" w:hAnsiTheme="minorHAnsi" w:cs="Arial"/>
        </w:rPr>
        <w:t>was of the</w:t>
      </w:r>
      <w:r w:rsidRPr="00A11265">
        <w:rPr>
          <w:rFonts w:asciiTheme="minorHAnsi" w:hAnsiTheme="minorHAnsi" w:cs="Arial"/>
        </w:rPr>
        <w:t xml:space="preserve"> view that the causer</w:t>
      </w:r>
      <w:r w:rsidR="004B61FB" w:rsidRPr="00A11265">
        <w:rPr>
          <w:rFonts w:asciiTheme="minorHAnsi" w:hAnsiTheme="minorHAnsi" w:cs="Arial"/>
        </w:rPr>
        <w:t xml:space="preserve"> </w:t>
      </w:r>
      <w:r w:rsidRPr="00A11265">
        <w:rPr>
          <w:rFonts w:asciiTheme="minorHAnsi" w:hAnsiTheme="minorHAnsi" w:cs="Arial"/>
        </w:rPr>
        <w:t>pays allocation should be accompanied by review and approval by the Utilities Commission.</w:t>
      </w:r>
    </w:p>
    <w:p w14:paraId="6A7A15BE" w14:textId="6B670B53" w:rsidR="00C942C7" w:rsidRPr="00A11265" w:rsidRDefault="00C942C7" w:rsidP="00C942C7">
      <w:pPr>
        <w:rPr>
          <w:rFonts w:asciiTheme="minorHAnsi" w:hAnsiTheme="minorHAnsi" w:cs="Arial"/>
        </w:rPr>
      </w:pPr>
      <w:r w:rsidRPr="00A11265">
        <w:rPr>
          <w:rFonts w:asciiTheme="minorHAnsi" w:hAnsiTheme="minorHAnsi" w:cs="Arial"/>
        </w:rPr>
        <w:t>Eni</w:t>
      </w:r>
      <w:r w:rsidR="004B61FB" w:rsidRPr="00A11265">
        <w:rPr>
          <w:rFonts w:asciiTheme="minorHAnsi" w:hAnsiTheme="minorHAnsi" w:cs="Arial"/>
        </w:rPr>
        <w:t xml:space="preserve"> Australia</w:t>
      </w:r>
      <w:r w:rsidRPr="00A11265">
        <w:rPr>
          <w:rFonts w:asciiTheme="minorHAnsi" w:hAnsiTheme="minorHAnsi" w:cs="Arial"/>
        </w:rPr>
        <w:t xml:space="preserve"> </w:t>
      </w:r>
      <w:r w:rsidR="004B61FB" w:rsidRPr="00A11265">
        <w:rPr>
          <w:rFonts w:asciiTheme="minorHAnsi" w:hAnsiTheme="minorHAnsi" w:cs="Arial"/>
        </w:rPr>
        <w:t>considered there are</w:t>
      </w:r>
      <w:r w:rsidRPr="00A11265">
        <w:rPr>
          <w:rFonts w:asciiTheme="minorHAnsi" w:hAnsiTheme="minorHAnsi" w:cs="Arial"/>
        </w:rPr>
        <w:t xml:space="preserve"> a number of potential conflicts of interest associated with the entity that provides the System Controller functions. Give</w:t>
      </w:r>
      <w:r w:rsidR="004B61FB" w:rsidRPr="00A11265">
        <w:rPr>
          <w:rFonts w:asciiTheme="minorHAnsi" w:hAnsiTheme="minorHAnsi" w:cs="Arial"/>
        </w:rPr>
        <w:t>n</w:t>
      </w:r>
      <w:r w:rsidRPr="00A11265">
        <w:rPr>
          <w:rFonts w:asciiTheme="minorHAnsi" w:hAnsiTheme="minorHAnsi" w:cs="Arial"/>
        </w:rPr>
        <w:t xml:space="preserve"> these potential conflicts of interest, it is of the view that the Utilities Commission needs to have sufficient technical resources of its own to provide effective regulation of the electricity industry. However, it noted that the Utilities Commission is heavily reliant on electricity industry consultants, many of which may face conflicting positions as they appear to also provide consultancy services to</w:t>
      </w:r>
      <w:r w:rsidR="004B61FB" w:rsidRPr="00A11265">
        <w:rPr>
          <w:rFonts w:asciiTheme="minorHAnsi" w:hAnsiTheme="minorHAnsi" w:cs="Arial"/>
        </w:rPr>
        <w:t xml:space="preserve"> the Power and Water Corporation</w:t>
      </w:r>
      <w:r w:rsidRPr="00A11265">
        <w:rPr>
          <w:rFonts w:asciiTheme="minorHAnsi" w:hAnsiTheme="minorHAnsi" w:cs="Arial"/>
        </w:rPr>
        <w:t>.</w:t>
      </w:r>
    </w:p>
    <w:p w14:paraId="757B018D" w14:textId="6B2A538E" w:rsidR="00C942C7" w:rsidRPr="00A11265" w:rsidRDefault="00C942C7" w:rsidP="00C942C7">
      <w:pPr>
        <w:rPr>
          <w:rFonts w:asciiTheme="minorHAnsi" w:hAnsiTheme="minorHAnsi" w:cs="Arial"/>
        </w:rPr>
      </w:pPr>
      <w:r w:rsidRPr="00A11265">
        <w:rPr>
          <w:rFonts w:asciiTheme="minorHAnsi" w:hAnsiTheme="minorHAnsi" w:cs="Arial"/>
        </w:rPr>
        <w:t xml:space="preserve">Sun Cable has proposed that, under the hybrid causer pays approach that it proposed, any fees or charges from the operator be initially performed by </w:t>
      </w:r>
      <w:r w:rsidR="004B61FB" w:rsidRPr="00A11265">
        <w:rPr>
          <w:rFonts w:asciiTheme="minorHAnsi" w:hAnsiTheme="minorHAnsi" w:cs="Arial"/>
        </w:rPr>
        <w:t>essential system services</w:t>
      </w:r>
      <w:r w:rsidRPr="00A11265">
        <w:rPr>
          <w:rFonts w:asciiTheme="minorHAnsi" w:hAnsiTheme="minorHAnsi" w:cs="Arial"/>
        </w:rPr>
        <w:t xml:space="preserve"> suppliers, with strict reporting and transparency obligations.</w:t>
      </w:r>
    </w:p>
    <w:p w14:paraId="179231F1" w14:textId="270F85FB" w:rsidR="00CB560D" w:rsidRPr="00A11265" w:rsidRDefault="009464A9" w:rsidP="00CB560D">
      <w:pPr>
        <w:pStyle w:val="Heading2"/>
        <w:keepNext/>
        <w:rPr>
          <w:lang w:eastAsia="en-AU"/>
        </w:rPr>
      </w:pPr>
      <w:bookmarkStart w:id="200" w:name="_Toc61852411"/>
      <w:bookmarkStart w:id="201" w:name="_Toc61956211"/>
      <w:bookmarkEnd w:id="200"/>
      <w:r w:rsidRPr="00A11265">
        <w:rPr>
          <w:lang w:eastAsia="en-AU"/>
        </w:rPr>
        <w:t>Analysis</w:t>
      </w:r>
      <w:bookmarkEnd w:id="201"/>
    </w:p>
    <w:p w14:paraId="2959C532" w14:textId="0B7622EF" w:rsidR="00B21B99" w:rsidRPr="00A11265" w:rsidRDefault="00B21B99" w:rsidP="00B21B99">
      <w:pPr>
        <w:pStyle w:val="Heading3"/>
        <w:keepNext/>
        <w:rPr>
          <w:szCs w:val="24"/>
          <w:lang w:eastAsia="en-AU"/>
        </w:rPr>
      </w:pPr>
      <w:r w:rsidRPr="00A11265">
        <w:rPr>
          <w:szCs w:val="24"/>
          <w:lang w:eastAsia="en-AU"/>
        </w:rPr>
        <w:t>Cost allocation</w:t>
      </w:r>
    </w:p>
    <w:p w14:paraId="4142D028" w14:textId="6E249357" w:rsidR="00475750" w:rsidRPr="00A11265" w:rsidRDefault="00475750" w:rsidP="00475750">
      <w:pPr>
        <w:rPr>
          <w:rFonts w:asciiTheme="minorHAnsi" w:hAnsiTheme="minorHAnsi" w:cs="Arial"/>
        </w:rPr>
      </w:pPr>
      <w:r w:rsidRPr="00A11265">
        <w:rPr>
          <w:rFonts w:asciiTheme="minorHAnsi" w:hAnsiTheme="minorHAnsi" w:cs="Arial"/>
        </w:rPr>
        <w:t>Based on the</w:t>
      </w:r>
      <w:r w:rsidR="00F70FE7" w:rsidRPr="00A11265">
        <w:rPr>
          <w:rFonts w:asciiTheme="minorHAnsi" w:hAnsiTheme="minorHAnsi" w:cs="Arial"/>
        </w:rPr>
        <w:t xml:space="preserve"> options canvassed in the</w:t>
      </w:r>
      <w:r w:rsidRPr="00A11265">
        <w:rPr>
          <w:rFonts w:asciiTheme="minorHAnsi" w:hAnsiTheme="minorHAnsi" w:cs="Arial"/>
        </w:rPr>
        <w:t xml:space="preserve"> Issues Paper and stak</w:t>
      </w:r>
      <w:r w:rsidR="00CA1ED8" w:rsidRPr="00A11265">
        <w:rPr>
          <w:rFonts w:asciiTheme="minorHAnsi" w:hAnsiTheme="minorHAnsi" w:cs="Arial"/>
        </w:rPr>
        <w:t>eholder submissions received, the options</w:t>
      </w:r>
      <w:r w:rsidRPr="00A11265">
        <w:rPr>
          <w:rFonts w:asciiTheme="minorHAnsi" w:hAnsiTheme="minorHAnsi" w:cs="Arial"/>
        </w:rPr>
        <w:t xml:space="preserve"> assessed</w:t>
      </w:r>
      <w:r w:rsidR="00CA1ED8" w:rsidRPr="00A11265">
        <w:rPr>
          <w:rFonts w:asciiTheme="minorHAnsi" w:hAnsiTheme="minorHAnsi" w:cs="Arial"/>
        </w:rPr>
        <w:t xml:space="preserve"> </w:t>
      </w:r>
      <w:r w:rsidR="00EB0C85" w:rsidRPr="00A11265">
        <w:rPr>
          <w:rFonts w:asciiTheme="minorHAnsi" w:hAnsiTheme="minorHAnsi" w:cs="Arial"/>
        </w:rPr>
        <w:t>are</w:t>
      </w:r>
      <w:r w:rsidR="00CA1ED8" w:rsidRPr="00A11265">
        <w:rPr>
          <w:rFonts w:asciiTheme="minorHAnsi" w:hAnsiTheme="minorHAnsi" w:cs="Arial"/>
        </w:rPr>
        <w:t>:</w:t>
      </w:r>
    </w:p>
    <w:p w14:paraId="3B386693" w14:textId="394F24B6" w:rsidR="00475750" w:rsidRPr="00A11265" w:rsidRDefault="00475750" w:rsidP="001F613E">
      <w:pPr>
        <w:pStyle w:val="ListParagraph"/>
        <w:numPr>
          <w:ilvl w:val="0"/>
          <w:numId w:val="11"/>
        </w:numPr>
        <w:spacing w:after="200"/>
        <w:ind w:left="425" w:hanging="357"/>
        <w:rPr>
          <w:rFonts w:cs="Arial"/>
        </w:rPr>
      </w:pPr>
      <w:r w:rsidRPr="00A11265">
        <w:rPr>
          <w:rFonts w:cs="Arial"/>
        </w:rPr>
        <w:t>generators pay, which is the existing approach</w:t>
      </w:r>
    </w:p>
    <w:p w14:paraId="7DC3D949" w14:textId="49A2CB8C" w:rsidR="00475750" w:rsidRPr="00A11265" w:rsidRDefault="00475750" w:rsidP="001F613E">
      <w:pPr>
        <w:pStyle w:val="ListParagraph"/>
        <w:numPr>
          <w:ilvl w:val="0"/>
          <w:numId w:val="11"/>
        </w:numPr>
        <w:spacing w:after="200"/>
        <w:ind w:left="425" w:hanging="357"/>
        <w:rPr>
          <w:rFonts w:cs="Arial"/>
        </w:rPr>
      </w:pPr>
      <w:r w:rsidRPr="00A11265">
        <w:rPr>
          <w:rFonts w:cs="Arial"/>
        </w:rPr>
        <w:t>causer pays similar to that</w:t>
      </w:r>
      <w:r w:rsidR="00CA1ED8" w:rsidRPr="00A11265">
        <w:rPr>
          <w:rFonts w:cs="Arial"/>
        </w:rPr>
        <w:t xml:space="preserve"> in</w:t>
      </w:r>
      <w:r w:rsidRPr="00A11265">
        <w:rPr>
          <w:rFonts w:cs="Arial"/>
        </w:rPr>
        <w:t xml:space="preserve"> the NEM, under which generato</w:t>
      </w:r>
      <w:r w:rsidR="00CA1ED8" w:rsidRPr="00A11265">
        <w:rPr>
          <w:rFonts w:cs="Arial"/>
        </w:rPr>
        <w:t>rs pay for contingency raise</w:t>
      </w:r>
      <w:r w:rsidRPr="00A11265">
        <w:rPr>
          <w:rFonts w:cs="Arial"/>
        </w:rPr>
        <w:t>, custome</w:t>
      </w:r>
      <w:r w:rsidR="00CA1ED8" w:rsidRPr="00A11265">
        <w:rPr>
          <w:rFonts w:cs="Arial"/>
        </w:rPr>
        <w:t>rs pay for contingency lower</w:t>
      </w:r>
      <w:r w:rsidRPr="00A11265">
        <w:rPr>
          <w:rFonts w:cs="Arial"/>
        </w:rPr>
        <w:t>, the</w:t>
      </w:r>
      <w:r w:rsidR="00CA1ED8" w:rsidRPr="00A11265">
        <w:rPr>
          <w:rFonts w:cs="Arial"/>
        </w:rPr>
        <w:t xml:space="preserve"> causer pays for regulation </w:t>
      </w:r>
      <w:r w:rsidRPr="00A11265">
        <w:rPr>
          <w:rFonts w:cs="Arial"/>
        </w:rPr>
        <w:t>and all system participants pay for netwo</w:t>
      </w:r>
      <w:r w:rsidR="000F2B07" w:rsidRPr="00A11265">
        <w:rPr>
          <w:rFonts w:cs="Arial"/>
        </w:rPr>
        <w:t xml:space="preserve">rk support </w:t>
      </w:r>
      <w:r w:rsidR="00BC51DC">
        <w:rPr>
          <w:rFonts w:cs="Arial"/>
        </w:rPr>
        <w:t>and</w:t>
      </w:r>
      <w:r w:rsidR="000F2B07" w:rsidRPr="00A11265">
        <w:rPr>
          <w:rFonts w:cs="Arial"/>
        </w:rPr>
        <w:t xml:space="preserve"> system restart</w:t>
      </w:r>
    </w:p>
    <w:p w14:paraId="5D73B516" w14:textId="671C9674" w:rsidR="00475750" w:rsidRPr="00A11265" w:rsidRDefault="00475750" w:rsidP="001F613E">
      <w:pPr>
        <w:pStyle w:val="ListParagraph"/>
        <w:numPr>
          <w:ilvl w:val="0"/>
          <w:numId w:val="11"/>
        </w:numPr>
        <w:spacing w:after="200"/>
        <w:ind w:left="425" w:hanging="357"/>
        <w:rPr>
          <w:rFonts w:cs="Arial"/>
        </w:rPr>
      </w:pPr>
      <w:r w:rsidRPr="00A11265">
        <w:rPr>
          <w:rFonts w:cs="Arial"/>
        </w:rPr>
        <w:t>hybrid causer pays as proposed by Sun Cable, which is as per the NEM ap</w:t>
      </w:r>
      <w:r w:rsidR="000F2B07" w:rsidRPr="00A11265">
        <w:rPr>
          <w:rFonts w:cs="Arial"/>
        </w:rPr>
        <w:t>proach except for regulation</w:t>
      </w:r>
      <w:r w:rsidR="00BC51DC">
        <w:rPr>
          <w:rFonts w:cs="Arial"/>
        </w:rPr>
        <w:t xml:space="preserve"> services</w:t>
      </w:r>
    </w:p>
    <w:p w14:paraId="3C42AF2B" w14:textId="2D177527" w:rsidR="00475750" w:rsidRPr="00A11265" w:rsidRDefault="00475750" w:rsidP="001F613E">
      <w:pPr>
        <w:pStyle w:val="ListParagraph"/>
        <w:numPr>
          <w:ilvl w:val="0"/>
          <w:numId w:val="11"/>
        </w:numPr>
        <w:spacing w:after="200"/>
        <w:ind w:left="425" w:hanging="357"/>
        <w:rPr>
          <w:rFonts w:cs="Arial"/>
        </w:rPr>
      </w:pPr>
      <w:proofErr w:type="gramStart"/>
      <w:r w:rsidRPr="00A11265">
        <w:rPr>
          <w:rFonts w:cs="Arial"/>
        </w:rPr>
        <w:t>customers</w:t>
      </w:r>
      <w:proofErr w:type="gramEnd"/>
      <w:r w:rsidRPr="00A11265">
        <w:rPr>
          <w:rFonts w:cs="Arial"/>
        </w:rPr>
        <w:t xml:space="preserve"> pay, under</w:t>
      </w:r>
      <w:r w:rsidR="000F2B07" w:rsidRPr="00A11265">
        <w:rPr>
          <w:rFonts w:cs="Arial"/>
        </w:rPr>
        <w:t xml:space="preserve"> which customers pay for all essential system services</w:t>
      </w:r>
      <w:r w:rsidRPr="00A11265">
        <w:rPr>
          <w:rFonts w:cs="Arial"/>
        </w:rPr>
        <w:t>.</w:t>
      </w:r>
    </w:p>
    <w:p w14:paraId="77F61362" w14:textId="72188602" w:rsidR="00EB0C85" w:rsidRPr="00A11265" w:rsidRDefault="00EB0C85" w:rsidP="00F51F16">
      <w:pPr>
        <w:rPr>
          <w:rFonts w:cs="Arial"/>
        </w:rPr>
      </w:pPr>
      <w:r w:rsidRPr="00A11265">
        <w:rPr>
          <w:rFonts w:cs="Arial"/>
        </w:rPr>
        <w:lastRenderedPageBreak/>
        <w:t xml:space="preserve">It should be noted that the introduction of the capacity forecasting GPS means that new renewable generators connecting to the </w:t>
      </w:r>
      <w:r w:rsidR="009C2427">
        <w:rPr>
          <w:rFonts w:cs="Arial"/>
        </w:rPr>
        <w:t>NT regulated</w:t>
      </w:r>
      <w:r w:rsidRPr="00A11265">
        <w:rPr>
          <w:rFonts w:cs="Arial"/>
        </w:rPr>
        <w:t xml:space="preserve"> power systems should</w:t>
      </w:r>
      <w:r w:rsidR="004135D3" w:rsidRPr="00A11265">
        <w:rPr>
          <w:rFonts w:cs="Arial"/>
        </w:rPr>
        <w:t xml:space="preserve"> not result in increased requirements for</w:t>
      </w:r>
      <w:r w:rsidR="00BB4832" w:rsidRPr="00A11265">
        <w:rPr>
          <w:rFonts w:cs="Arial"/>
        </w:rPr>
        <w:t xml:space="preserve"> regulat</w:t>
      </w:r>
      <w:r w:rsidR="00BC51DC">
        <w:rPr>
          <w:rFonts w:cs="Arial"/>
        </w:rPr>
        <w:t>ing</w:t>
      </w:r>
      <w:r w:rsidR="00BB4832" w:rsidRPr="00A11265">
        <w:rPr>
          <w:rFonts w:cs="Arial"/>
        </w:rPr>
        <w:t xml:space="preserve"> frequency control</w:t>
      </w:r>
      <w:r w:rsidRPr="00A11265">
        <w:rPr>
          <w:rFonts w:cs="Arial"/>
        </w:rPr>
        <w:t xml:space="preserve">. </w:t>
      </w:r>
      <w:r w:rsidR="00BB4832" w:rsidRPr="00A11265">
        <w:rPr>
          <w:rFonts w:cs="Arial"/>
        </w:rPr>
        <w:t xml:space="preserve">It </w:t>
      </w:r>
      <w:r w:rsidRPr="00A11265">
        <w:rPr>
          <w:rFonts w:cs="Arial"/>
        </w:rPr>
        <w:t>may therefore be</w:t>
      </w:r>
      <w:r w:rsidR="004135D3" w:rsidRPr="00A11265">
        <w:rPr>
          <w:rFonts w:cs="Arial"/>
        </w:rPr>
        <w:t xml:space="preserve"> expected that the majority of the</w:t>
      </w:r>
      <w:r w:rsidRPr="00A11265">
        <w:rPr>
          <w:rFonts w:cs="Arial"/>
        </w:rPr>
        <w:t xml:space="preserve"> cost for regulation services</w:t>
      </w:r>
      <w:r w:rsidR="004135D3" w:rsidRPr="00A11265">
        <w:rPr>
          <w:rFonts w:cs="Arial"/>
        </w:rPr>
        <w:t xml:space="preserve"> will</w:t>
      </w:r>
      <w:r w:rsidRPr="00A11265">
        <w:rPr>
          <w:rFonts w:cs="Arial"/>
        </w:rPr>
        <w:t xml:space="preserve"> be recovered from loads.</w:t>
      </w:r>
    </w:p>
    <w:p w14:paraId="55443B94" w14:textId="28E6B3BF" w:rsidR="00006698" w:rsidRPr="00A11265" w:rsidRDefault="00006698" w:rsidP="00D24B1D">
      <w:pPr>
        <w:pStyle w:val="Heading4"/>
      </w:pPr>
      <w:r w:rsidRPr="00A11265">
        <w:t>Efficient provision of services</w:t>
      </w:r>
    </w:p>
    <w:p w14:paraId="7428F65D" w14:textId="0C355191" w:rsidR="00475750" w:rsidRPr="00A11265" w:rsidRDefault="000F2B07" w:rsidP="00475750">
      <w:pPr>
        <w:rPr>
          <w:rFonts w:asciiTheme="minorHAnsi" w:hAnsiTheme="minorHAnsi" w:cs="Arial"/>
        </w:rPr>
      </w:pPr>
      <w:r w:rsidRPr="00A11265">
        <w:rPr>
          <w:rFonts w:asciiTheme="minorHAnsi" w:hAnsiTheme="minorHAnsi" w:cs="Arial"/>
        </w:rPr>
        <w:t>The efficient provision of essential system services</w:t>
      </w:r>
      <w:r w:rsidR="00475750" w:rsidRPr="00A11265">
        <w:rPr>
          <w:rFonts w:asciiTheme="minorHAnsi" w:hAnsiTheme="minorHAnsi" w:cs="Arial"/>
        </w:rPr>
        <w:t xml:space="preserve"> is facilitated when participants are incentivised to minimise the extent to which </w:t>
      </w:r>
      <w:r w:rsidR="00253701" w:rsidRPr="00A11265">
        <w:rPr>
          <w:rFonts w:asciiTheme="minorHAnsi" w:hAnsiTheme="minorHAnsi" w:cs="Arial"/>
        </w:rPr>
        <w:t>essential system services</w:t>
      </w:r>
      <w:r w:rsidR="00475750" w:rsidRPr="00A11265">
        <w:rPr>
          <w:rFonts w:asciiTheme="minorHAnsi" w:hAnsiTheme="minorHAnsi" w:cs="Arial"/>
        </w:rPr>
        <w:t xml:space="preserve"> are required. This occurs to the greatest extent under the causer pays approach, similar to that adopted in the NEM.</w:t>
      </w:r>
    </w:p>
    <w:p w14:paraId="62803ACE" w14:textId="7486DCF2" w:rsidR="00475750" w:rsidRPr="00A11265" w:rsidRDefault="00475750" w:rsidP="00475750">
      <w:pPr>
        <w:rPr>
          <w:rFonts w:asciiTheme="minorHAnsi" w:hAnsiTheme="minorHAnsi" w:cs="Arial"/>
        </w:rPr>
      </w:pPr>
      <w:r w:rsidRPr="00A11265">
        <w:rPr>
          <w:rFonts w:asciiTheme="minorHAnsi" w:hAnsiTheme="minorHAnsi" w:cs="Arial"/>
        </w:rPr>
        <w:t>The hybrid causer pays approach proposed by Sun Cable is the same as the causer pays approach for all servic</w:t>
      </w:r>
      <w:r w:rsidR="000F2B07" w:rsidRPr="00A11265">
        <w:rPr>
          <w:rFonts w:asciiTheme="minorHAnsi" w:hAnsiTheme="minorHAnsi" w:cs="Arial"/>
        </w:rPr>
        <w:t>es other than for regulation</w:t>
      </w:r>
      <w:r w:rsidRPr="00A11265">
        <w:rPr>
          <w:rFonts w:asciiTheme="minorHAnsi" w:hAnsiTheme="minorHAnsi" w:cs="Arial"/>
        </w:rPr>
        <w:t>. The hybrid causer pays appro</w:t>
      </w:r>
      <w:r w:rsidR="004E0214" w:rsidRPr="00A11265">
        <w:rPr>
          <w:rFonts w:asciiTheme="minorHAnsi" w:hAnsiTheme="minorHAnsi" w:cs="Arial"/>
        </w:rPr>
        <w:t xml:space="preserve">ach expands upon the </w:t>
      </w:r>
      <w:r w:rsidR="00253701" w:rsidRPr="00A11265">
        <w:rPr>
          <w:rFonts w:asciiTheme="minorHAnsi" w:hAnsiTheme="minorHAnsi" w:cs="Arial"/>
        </w:rPr>
        <w:t>GPS</w:t>
      </w:r>
      <w:r w:rsidRPr="00A11265">
        <w:rPr>
          <w:rFonts w:asciiTheme="minorHAnsi" w:hAnsiTheme="minorHAnsi" w:cs="Arial"/>
        </w:rPr>
        <w:t xml:space="preserve"> which require a generator’s total impact on the grid (across a number of locations) to be effectively non-existent. Generators can contract with third parties to correct for any frequency control impacts. Under Sun Cable’s model, the third party contracted by the generator would then be liable for any net frequency control impacts.</w:t>
      </w:r>
    </w:p>
    <w:p w14:paraId="6C5CD5C3" w14:textId="74D735BC" w:rsidR="00475750" w:rsidRPr="00A11265" w:rsidRDefault="00475750" w:rsidP="00475750">
      <w:pPr>
        <w:rPr>
          <w:rFonts w:asciiTheme="minorHAnsi" w:hAnsiTheme="minorHAnsi" w:cs="Arial"/>
        </w:rPr>
      </w:pPr>
      <w:r w:rsidRPr="00A11265">
        <w:rPr>
          <w:rFonts w:asciiTheme="minorHAnsi" w:hAnsiTheme="minorHAnsi" w:cs="Arial"/>
        </w:rPr>
        <w:t xml:space="preserve">Any differences between the incentives under the two approaches are driven by the contractual arrangements between the generators and the third parties </w:t>
      </w:r>
      <w:r w:rsidR="0099483B" w:rsidRPr="00A11265">
        <w:rPr>
          <w:rFonts w:asciiTheme="minorHAnsi" w:hAnsiTheme="minorHAnsi" w:cs="Arial"/>
        </w:rPr>
        <w:t>—</w:t>
      </w:r>
      <w:r w:rsidRPr="00A11265">
        <w:rPr>
          <w:rFonts w:asciiTheme="minorHAnsi" w:hAnsiTheme="minorHAnsi" w:cs="Arial"/>
        </w:rPr>
        <w:t xml:space="preserve"> the incentives under the hybrid causer pays approach could be aligned with the incentives under the causer pays approach or the liability could be transferred completely to the third parties as implied by Sun Cable’s submission.</w:t>
      </w:r>
    </w:p>
    <w:p w14:paraId="3F5C75D8" w14:textId="30A410F9" w:rsidR="00006698" w:rsidRPr="00A11265" w:rsidRDefault="00475750" w:rsidP="003C11F7">
      <w:pPr>
        <w:rPr>
          <w:rFonts w:asciiTheme="minorHAnsi" w:hAnsiTheme="minorHAnsi" w:cs="Arial"/>
        </w:rPr>
      </w:pPr>
      <w:r w:rsidRPr="00A11265">
        <w:rPr>
          <w:rFonts w:asciiTheme="minorHAnsi" w:hAnsiTheme="minorHAnsi" w:cs="Arial"/>
        </w:rPr>
        <w:t>The existing generator pays approach and the customer pays approach are similar in terms of efficiency. Under both of these approaches the costs associat</w:t>
      </w:r>
      <w:r w:rsidR="00F954E8" w:rsidRPr="00A11265">
        <w:rPr>
          <w:rFonts w:asciiTheme="minorHAnsi" w:hAnsiTheme="minorHAnsi" w:cs="Arial"/>
        </w:rPr>
        <w:t xml:space="preserve">ed with providing regulation control, </w:t>
      </w:r>
      <w:proofErr w:type="spellStart"/>
      <w:r w:rsidR="00F954E8" w:rsidRPr="00A11265">
        <w:rPr>
          <w:rFonts w:asciiTheme="minorHAnsi" w:hAnsiTheme="minorHAnsi" w:cs="Arial"/>
        </w:rPr>
        <w:t>RoCoF</w:t>
      </w:r>
      <w:proofErr w:type="spellEnd"/>
      <w:r w:rsidR="00F954E8" w:rsidRPr="00A11265">
        <w:rPr>
          <w:rFonts w:asciiTheme="minorHAnsi" w:hAnsiTheme="minorHAnsi" w:cs="Arial"/>
        </w:rPr>
        <w:t xml:space="preserve"> control and system strength</w:t>
      </w:r>
      <w:r w:rsidRPr="00A11265">
        <w:rPr>
          <w:rFonts w:asciiTheme="minorHAnsi" w:hAnsiTheme="minorHAnsi" w:cs="Arial"/>
        </w:rPr>
        <w:t xml:space="preserve"> are not paid for by the parties causing the need for those services.</w:t>
      </w:r>
    </w:p>
    <w:p w14:paraId="427F05A3" w14:textId="146BD29A" w:rsidR="00006698" w:rsidRPr="00A11265" w:rsidRDefault="00006698" w:rsidP="00D24B1D">
      <w:pPr>
        <w:pStyle w:val="Heading4"/>
      </w:pPr>
      <w:r w:rsidRPr="00A11265">
        <w:t>Administrative costs</w:t>
      </w:r>
    </w:p>
    <w:p w14:paraId="7045BD62" w14:textId="77777777" w:rsidR="00006698" w:rsidRPr="00A11265" w:rsidRDefault="00006698" w:rsidP="00006698">
      <w:pPr>
        <w:rPr>
          <w:rFonts w:asciiTheme="minorHAnsi" w:hAnsiTheme="minorHAnsi" w:cs="Arial"/>
        </w:rPr>
      </w:pPr>
      <w:r w:rsidRPr="00A11265">
        <w:rPr>
          <w:rFonts w:asciiTheme="minorHAnsi" w:hAnsiTheme="minorHAnsi" w:cs="Arial"/>
        </w:rPr>
        <w:t>The administrative costs associated with the generator pays and customer pays approaches are relatively low. The total costs are either allocated to generators based on energy produced or customers based on energy consumed.</w:t>
      </w:r>
    </w:p>
    <w:p w14:paraId="4BFB8DB8" w14:textId="7D531424" w:rsidR="00006698" w:rsidRPr="00A11265" w:rsidRDefault="00006698" w:rsidP="00006698">
      <w:pPr>
        <w:rPr>
          <w:rFonts w:asciiTheme="minorHAnsi" w:hAnsiTheme="minorHAnsi" w:cs="Arial"/>
        </w:rPr>
      </w:pPr>
      <w:r w:rsidRPr="00A11265">
        <w:rPr>
          <w:rFonts w:asciiTheme="minorHAnsi" w:hAnsiTheme="minorHAnsi" w:cs="Arial"/>
        </w:rPr>
        <w:t xml:space="preserve">The administrative costs associated with the causer pays and hybrid causer pays approaches are higher as the equipment would need to be in place to be able to monitor the system, and the System Controller would need to use that information to allocate the </w:t>
      </w:r>
      <w:r w:rsidR="00230B0D" w:rsidRPr="00A11265">
        <w:rPr>
          <w:rFonts w:asciiTheme="minorHAnsi" w:hAnsiTheme="minorHAnsi" w:cs="Arial"/>
        </w:rPr>
        <w:t xml:space="preserve">costs associated with </w:t>
      </w:r>
      <w:r w:rsidR="006E02A3" w:rsidRPr="00A11265">
        <w:rPr>
          <w:rFonts w:asciiTheme="minorHAnsi" w:hAnsiTheme="minorHAnsi" w:cs="Arial"/>
        </w:rPr>
        <w:t>r</w:t>
      </w:r>
      <w:r w:rsidR="00230B0D" w:rsidRPr="00A11265">
        <w:rPr>
          <w:rFonts w:asciiTheme="minorHAnsi" w:hAnsiTheme="minorHAnsi" w:cs="Arial"/>
        </w:rPr>
        <w:t xml:space="preserve">egulating </w:t>
      </w:r>
      <w:r w:rsidR="006E02A3" w:rsidRPr="00A11265">
        <w:rPr>
          <w:rFonts w:asciiTheme="minorHAnsi" w:hAnsiTheme="minorHAnsi" w:cs="Arial"/>
        </w:rPr>
        <w:t>f</w:t>
      </w:r>
      <w:r w:rsidR="00230B0D" w:rsidRPr="00A11265">
        <w:rPr>
          <w:rFonts w:asciiTheme="minorHAnsi" w:hAnsiTheme="minorHAnsi" w:cs="Arial"/>
        </w:rPr>
        <w:t xml:space="preserve">requency </w:t>
      </w:r>
      <w:r w:rsidR="006E02A3" w:rsidRPr="00A11265">
        <w:rPr>
          <w:rFonts w:asciiTheme="minorHAnsi" w:hAnsiTheme="minorHAnsi" w:cs="Arial"/>
        </w:rPr>
        <w:t>c</w:t>
      </w:r>
      <w:r w:rsidR="00230B0D" w:rsidRPr="00A11265">
        <w:rPr>
          <w:rFonts w:asciiTheme="minorHAnsi" w:hAnsiTheme="minorHAnsi" w:cs="Arial"/>
        </w:rPr>
        <w:t xml:space="preserve">ontrol, </w:t>
      </w:r>
      <w:proofErr w:type="spellStart"/>
      <w:r w:rsidR="00230B0D" w:rsidRPr="00A11265">
        <w:rPr>
          <w:rFonts w:asciiTheme="minorHAnsi" w:hAnsiTheme="minorHAnsi" w:cs="Arial"/>
        </w:rPr>
        <w:t>RoCoF</w:t>
      </w:r>
      <w:proofErr w:type="spellEnd"/>
      <w:r w:rsidR="00230B0D" w:rsidRPr="00A11265">
        <w:rPr>
          <w:rFonts w:asciiTheme="minorHAnsi" w:hAnsiTheme="minorHAnsi" w:cs="Arial"/>
        </w:rPr>
        <w:t xml:space="preserve"> </w:t>
      </w:r>
      <w:r w:rsidR="006E02A3" w:rsidRPr="00A11265">
        <w:rPr>
          <w:rFonts w:asciiTheme="minorHAnsi" w:hAnsiTheme="minorHAnsi" w:cs="Arial"/>
        </w:rPr>
        <w:t>c</w:t>
      </w:r>
      <w:r w:rsidR="00230B0D" w:rsidRPr="00A11265">
        <w:rPr>
          <w:rFonts w:asciiTheme="minorHAnsi" w:hAnsiTheme="minorHAnsi" w:cs="Arial"/>
        </w:rPr>
        <w:t>ontrol</w:t>
      </w:r>
      <w:r w:rsidRPr="00A11265">
        <w:rPr>
          <w:rFonts w:asciiTheme="minorHAnsi" w:hAnsiTheme="minorHAnsi" w:cs="Arial"/>
        </w:rPr>
        <w:t xml:space="preserve"> and </w:t>
      </w:r>
      <w:r w:rsidR="006E02A3" w:rsidRPr="00A11265">
        <w:rPr>
          <w:rFonts w:asciiTheme="minorHAnsi" w:hAnsiTheme="minorHAnsi" w:cs="Arial"/>
        </w:rPr>
        <w:t>s</w:t>
      </w:r>
      <w:r w:rsidR="00230B0D" w:rsidRPr="00A11265">
        <w:rPr>
          <w:rFonts w:asciiTheme="minorHAnsi" w:hAnsiTheme="minorHAnsi" w:cs="Arial"/>
        </w:rPr>
        <w:t xml:space="preserve">ystem </w:t>
      </w:r>
      <w:r w:rsidR="006E02A3" w:rsidRPr="00A11265">
        <w:rPr>
          <w:rFonts w:asciiTheme="minorHAnsi" w:hAnsiTheme="minorHAnsi" w:cs="Arial"/>
        </w:rPr>
        <w:t>s</w:t>
      </w:r>
      <w:r w:rsidR="00230B0D" w:rsidRPr="00A11265">
        <w:rPr>
          <w:rFonts w:asciiTheme="minorHAnsi" w:hAnsiTheme="minorHAnsi" w:cs="Arial"/>
        </w:rPr>
        <w:t>trength</w:t>
      </w:r>
      <w:r w:rsidRPr="00A11265">
        <w:rPr>
          <w:rFonts w:asciiTheme="minorHAnsi" w:hAnsiTheme="minorHAnsi" w:cs="Arial"/>
        </w:rPr>
        <w:t xml:space="preserve"> to the appropriate party. In the case of the hybrid causer pays</w:t>
      </w:r>
      <w:r w:rsidRPr="00A11265">
        <w:t xml:space="preserve"> </w:t>
      </w:r>
      <w:r w:rsidRPr="00A11265">
        <w:rPr>
          <w:rFonts w:asciiTheme="minorHAnsi" w:hAnsiTheme="minorHAnsi" w:cs="Arial"/>
        </w:rPr>
        <w:t>approach, the System Controller would also need to understand the contractual arrangements between the generators and third parties to assess the ‘net’ impacts.</w:t>
      </w:r>
    </w:p>
    <w:p w14:paraId="779752F1" w14:textId="3FA10158" w:rsidR="00475750" w:rsidRPr="00A11265" w:rsidRDefault="00006698" w:rsidP="003C11F7">
      <w:pPr>
        <w:rPr>
          <w:rFonts w:asciiTheme="minorHAnsi" w:hAnsiTheme="minorHAnsi" w:cs="Arial"/>
        </w:rPr>
      </w:pPr>
      <w:r w:rsidRPr="00A11265">
        <w:rPr>
          <w:rFonts w:asciiTheme="minorHAnsi" w:hAnsiTheme="minorHAnsi" w:cs="Arial"/>
        </w:rPr>
        <w:t>Arrangements would also need to be in place to resolve any disputes that arose from the allocation of costs under the causer pays and hybrid causer pays approaches.</w:t>
      </w:r>
    </w:p>
    <w:p w14:paraId="4985201E" w14:textId="06A50FF5" w:rsidR="00475750" w:rsidRPr="00AA4D6E" w:rsidRDefault="00B91289" w:rsidP="00475750">
      <w:pPr>
        <w:keepNext/>
        <w:spacing w:after="0"/>
        <w:rPr>
          <w:rFonts w:asciiTheme="minorHAnsi" w:hAnsiTheme="minorHAnsi" w:cs="Arial"/>
          <w:b/>
        </w:rPr>
      </w:pPr>
      <w:r w:rsidRPr="00AA4D6E">
        <w:rPr>
          <w:rFonts w:asciiTheme="minorHAnsi" w:hAnsiTheme="minorHAnsi" w:cs="Arial"/>
          <w:b/>
        </w:rPr>
        <w:t>Table 6</w:t>
      </w:r>
      <w:r w:rsidR="0059694D" w:rsidRPr="00AA4D6E">
        <w:rPr>
          <w:rFonts w:asciiTheme="minorHAnsi" w:hAnsiTheme="minorHAnsi" w:cs="Arial"/>
          <w:b/>
        </w:rPr>
        <w:t>-1</w:t>
      </w:r>
      <w:r w:rsidR="00475750" w:rsidRPr="00AA4D6E">
        <w:rPr>
          <w:rFonts w:asciiTheme="minorHAnsi" w:hAnsiTheme="minorHAnsi" w:cs="Arial"/>
          <w:b/>
        </w:rPr>
        <w:tab/>
      </w:r>
      <w:proofErr w:type="gramStart"/>
      <w:r w:rsidR="00475750" w:rsidRPr="00AA4D6E">
        <w:rPr>
          <w:rFonts w:asciiTheme="minorHAnsi" w:hAnsiTheme="minorHAnsi" w:cs="Arial"/>
          <w:b/>
        </w:rPr>
        <w:t>Estimated</w:t>
      </w:r>
      <w:proofErr w:type="gramEnd"/>
      <w:r w:rsidR="00475750" w:rsidRPr="00AA4D6E">
        <w:rPr>
          <w:rFonts w:asciiTheme="minorHAnsi" w:hAnsiTheme="minorHAnsi" w:cs="Arial"/>
          <w:b/>
        </w:rPr>
        <w:t xml:space="preserve"> administrative costs for each cost allocation option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596"/>
      </w:tblGrid>
      <w:tr w:rsidR="00475750" w:rsidRPr="00AA4D6E" w14:paraId="3271E2E8" w14:textId="77777777" w:rsidTr="00154622">
        <w:trPr>
          <w:tblHeader/>
        </w:trPr>
        <w:tc>
          <w:tcPr>
            <w:tcW w:w="1319" w:type="pct"/>
            <w:tcBorders>
              <w:top w:val="single" w:sz="4" w:space="0" w:color="auto"/>
              <w:bottom w:val="single" w:sz="4" w:space="0" w:color="auto"/>
            </w:tcBorders>
          </w:tcPr>
          <w:p w14:paraId="132DEE40" w14:textId="77777777" w:rsidR="00475750" w:rsidRPr="00AA4D6E" w:rsidRDefault="00475750" w:rsidP="00F83C84">
            <w:pPr>
              <w:keepNext/>
              <w:rPr>
                <w:rFonts w:asciiTheme="minorHAnsi" w:hAnsiTheme="minorHAnsi" w:cs="Arial"/>
                <w:b/>
              </w:rPr>
            </w:pPr>
            <w:r w:rsidRPr="00AA4D6E">
              <w:rPr>
                <w:rFonts w:asciiTheme="minorHAnsi" w:hAnsiTheme="minorHAnsi"/>
                <w:b/>
              </w:rPr>
              <w:t>Option</w:t>
            </w:r>
          </w:p>
        </w:tc>
        <w:tc>
          <w:tcPr>
            <w:tcW w:w="3681" w:type="pct"/>
            <w:tcBorders>
              <w:top w:val="single" w:sz="4" w:space="0" w:color="auto"/>
              <w:bottom w:val="single" w:sz="4" w:space="0" w:color="auto"/>
            </w:tcBorders>
          </w:tcPr>
          <w:p w14:paraId="6419CE70" w14:textId="577576AA" w:rsidR="00475750" w:rsidRPr="00AA4D6E" w:rsidRDefault="00475750" w:rsidP="00F83C84">
            <w:pPr>
              <w:keepNext/>
              <w:rPr>
                <w:rFonts w:asciiTheme="minorHAnsi" w:hAnsiTheme="minorHAnsi" w:cs="Arial"/>
                <w:b/>
              </w:rPr>
            </w:pPr>
            <w:r w:rsidRPr="00AA4D6E">
              <w:rPr>
                <w:rFonts w:asciiTheme="minorHAnsi" w:hAnsiTheme="minorHAnsi"/>
                <w:b/>
              </w:rPr>
              <w:t>Estimated costs</w:t>
            </w:r>
          </w:p>
        </w:tc>
      </w:tr>
      <w:tr w:rsidR="00475750" w:rsidRPr="00AA4D6E" w14:paraId="336556AD" w14:textId="77777777" w:rsidTr="00D9724C">
        <w:tc>
          <w:tcPr>
            <w:tcW w:w="1319" w:type="pct"/>
            <w:tcBorders>
              <w:top w:val="single" w:sz="4" w:space="0" w:color="auto"/>
              <w:bottom w:val="single" w:sz="4" w:space="0" w:color="auto"/>
            </w:tcBorders>
          </w:tcPr>
          <w:p w14:paraId="561AA457" w14:textId="098B1F2E" w:rsidR="00475750" w:rsidRPr="00AA4D6E" w:rsidRDefault="00475750" w:rsidP="00F83C84">
            <w:pPr>
              <w:keepNext/>
              <w:spacing w:before="60" w:after="60"/>
              <w:rPr>
                <w:rFonts w:asciiTheme="minorHAnsi" w:hAnsiTheme="minorHAnsi" w:cs="Arial"/>
              </w:rPr>
            </w:pPr>
            <w:r w:rsidRPr="00AA4D6E">
              <w:t>Generators pay</w:t>
            </w:r>
          </w:p>
        </w:tc>
        <w:tc>
          <w:tcPr>
            <w:tcW w:w="3681" w:type="pct"/>
            <w:tcBorders>
              <w:top w:val="single" w:sz="4" w:space="0" w:color="auto"/>
              <w:bottom w:val="single" w:sz="4" w:space="0" w:color="auto"/>
            </w:tcBorders>
          </w:tcPr>
          <w:p w14:paraId="571F7113" w14:textId="31D9DE9B" w:rsidR="00475750" w:rsidRPr="00A23B49" w:rsidRDefault="00475750" w:rsidP="00D9724C">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 xml:space="preserve">0.1 </w:t>
            </w:r>
            <w:r w:rsidR="0091758D">
              <w:rPr>
                <w:rFonts w:asciiTheme="minorHAnsi" w:hAnsiTheme="minorHAnsi" w:cs="Arial"/>
                <w:sz w:val="22"/>
                <w:szCs w:val="22"/>
              </w:rPr>
              <w:t>full time employees (FTE)</w:t>
            </w:r>
          </w:p>
        </w:tc>
      </w:tr>
      <w:tr w:rsidR="00475750" w:rsidRPr="00AA4D6E" w14:paraId="47488540" w14:textId="77777777" w:rsidTr="00D9724C">
        <w:tc>
          <w:tcPr>
            <w:tcW w:w="1319" w:type="pct"/>
            <w:tcBorders>
              <w:top w:val="single" w:sz="4" w:space="0" w:color="auto"/>
              <w:bottom w:val="single" w:sz="4" w:space="0" w:color="auto"/>
            </w:tcBorders>
          </w:tcPr>
          <w:p w14:paraId="51BAFF97" w14:textId="77F57A9A" w:rsidR="00475750" w:rsidRPr="00AA4D6E" w:rsidRDefault="00475750" w:rsidP="00F83C84">
            <w:pPr>
              <w:keepNext/>
              <w:spacing w:before="60" w:after="60"/>
              <w:rPr>
                <w:rFonts w:asciiTheme="minorHAnsi" w:hAnsiTheme="minorHAnsi" w:cs="Arial"/>
              </w:rPr>
            </w:pPr>
            <w:r w:rsidRPr="00AA4D6E">
              <w:rPr>
                <w:rFonts w:asciiTheme="minorHAnsi" w:hAnsiTheme="minorHAnsi" w:cs="Arial"/>
              </w:rPr>
              <w:t>Causer pays</w:t>
            </w:r>
          </w:p>
        </w:tc>
        <w:tc>
          <w:tcPr>
            <w:tcW w:w="3681" w:type="pct"/>
            <w:tcBorders>
              <w:top w:val="single" w:sz="4" w:space="0" w:color="auto"/>
              <w:bottom w:val="single" w:sz="4" w:space="0" w:color="auto"/>
            </w:tcBorders>
          </w:tcPr>
          <w:p w14:paraId="0DEC2E68" w14:textId="71D8CCF0" w:rsidR="00475750" w:rsidRPr="00A23B49" w:rsidRDefault="00475750">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0.5 FTE plus $0.2</w:t>
            </w:r>
            <w:r w:rsidR="0091758D">
              <w:rPr>
                <w:rFonts w:asciiTheme="minorHAnsi" w:hAnsiTheme="minorHAnsi" w:cs="Arial"/>
                <w:sz w:val="22"/>
                <w:szCs w:val="22"/>
              </w:rPr>
              <w:t xml:space="preserve"> </w:t>
            </w:r>
            <w:r w:rsidRPr="00A23B49">
              <w:rPr>
                <w:rFonts w:asciiTheme="minorHAnsi" w:hAnsiTheme="minorHAnsi" w:cs="Arial"/>
                <w:sz w:val="22"/>
                <w:szCs w:val="22"/>
              </w:rPr>
              <w:t>m</w:t>
            </w:r>
            <w:r w:rsidR="0091758D">
              <w:rPr>
                <w:rFonts w:asciiTheme="minorHAnsi" w:hAnsiTheme="minorHAnsi" w:cs="Arial"/>
                <w:sz w:val="22"/>
                <w:szCs w:val="22"/>
              </w:rPr>
              <w:t xml:space="preserve">illion – </w:t>
            </w:r>
            <w:r w:rsidRPr="00A23B49">
              <w:rPr>
                <w:rFonts w:asciiTheme="minorHAnsi" w:hAnsiTheme="minorHAnsi" w:cs="Arial"/>
                <w:sz w:val="22"/>
                <w:szCs w:val="22"/>
              </w:rPr>
              <w:t>$1.0</w:t>
            </w:r>
            <w:r w:rsidR="0091758D">
              <w:rPr>
                <w:rFonts w:asciiTheme="minorHAnsi" w:hAnsiTheme="minorHAnsi" w:cs="Arial"/>
                <w:sz w:val="22"/>
                <w:szCs w:val="22"/>
              </w:rPr>
              <w:t xml:space="preserve"> million</w:t>
            </w:r>
            <w:r w:rsidRPr="00A23B49">
              <w:rPr>
                <w:rFonts w:asciiTheme="minorHAnsi" w:hAnsiTheme="minorHAnsi" w:cs="Arial"/>
                <w:sz w:val="22"/>
                <w:szCs w:val="22"/>
              </w:rPr>
              <w:t xml:space="preserve"> per annum for expert advice to resolve disputes that arise</w:t>
            </w:r>
          </w:p>
        </w:tc>
      </w:tr>
      <w:tr w:rsidR="00475750" w:rsidRPr="00AA4D6E" w14:paraId="5C8FF112" w14:textId="77777777" w:rsidTr="00D9724C">
        <w:tc>
          <w:tcPr>
            <w:tcW w:w="1319" w:type="pct"/>
            <w:tcBorders>
              <w:top w:val="single" w:sz="4" w:space="0" w:color="auto"/>
              <w:bottom w:val="single" w:sz="4" w:space="0" w:color="auto"/>
            </w:tcBorders>
          </w:tcPr>
          <w:p w14:paraId="442CBD4B" w14:textId="253B0F7F" w:rsidR="00475750" w:rsidRPr="00AA4D6E" w:rsidRDefault="001913B5" w:rsidP="00F83C84">
            <w:pPr>
              <w:keepNext/>
              <w:spacing w:before="60" w:after="60"/>
              <w:rPr>
                <w:rFonts w:asciiTheme="minorHAnsi" w:hAnsiTheme="minorHAnsi" w:cs="Arial"/>
              </w:rPr>
            </w:pPr>
            <w:r w:rsidRPr="00AA4D6E">
              <w:rPr>
                <w:rFonts w:asciiTheme="minorHAnsi" w:hAnsiTheme="minorHAnsi" w:cs="Arial"/>
              </w:rPr>
              <w:t xml:space="preserve">Hybrid causer </w:t>
            </w:r>
            <w:r w:rsidR="00475750" w:rsidRPr="00AA4D6E">
              <w:rPr>
                <w:rFonts w:asciiTheme="minorHAnsi" w:hAnsiTheme="minorHAnsi" w:cs="Arial"/>
              </w:rPr>
              <w:t>pay</w:t>
            </w:r>
            <w:r w:rsidRPr="00AA4D6E">
              <w:rPr>
                <w:rFonts w:asciiTheme="minorHAnsi" w:hAnsiTheme="minorHAnsi" w:cs="Arial"/>
              </w:rPr>
              <w:t>s</w:t>
            </w:r>
          </w:p>
        </w:tc>
        <w:tc>
          <w:tcPr>
            <w:tcW w:w="3681" w:type="pct"/>
            <w:tcBorders>
              <w:top w:val="single" w:sz="4" w:space="0" w:color="auto"/>
              <w:bottom w:val="single" w:sz="4" w:space="0" w:color="auto"/>
            </w:tcBorders>
          </w:tcPr>
          <w:p w14:paraId="0366C64F" w14:textId="33D8F7F2" w:rsidR="00475750" w:rsidRPr="00A23B49" w:rsidRDefault="00475750">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0.5 FTE plus $0.2</w:t>
            </w:r>
            <w:r w:rsidR="0091758D">
              <w:rPr>
                <w:rFonts w:asciiTheme="minorHAnsi" w:hAnsiTheme="minorHAnsi" w:cs="Arial"/>
                <w:sz w:val="22"/>
                <w:szCs w:val="22"/>
              </w:rPr>
              <w:t xml:space="preserve"> </w:t>
            </w:r>
            <w:r w:rsidRPr="00A23B49">
              <w:rPr>
                <w:rFonts w:asciiTheme="minorHAnsi" w:hAnsiTheme="minorHAnsi" w:cs="Arial"/>
                <w:sz w:val="22"/>
                <w:szCs w:val="22"/>
              </w:rPr>
              <w:t>m</w:t>
            </w:r>
            <w:r w:rsidR="0091758D">
              <w:rPr>
                <w:rFonts w:asciiTheme="minorHAnsi" w:hAnsiTheme="minorHAnsi" w:cs="Arial"/>
                <w:sz w:val="22"/>
                <w:szCs w:val="22"/>
              </w:rPr>
              <w:t xml:space="preserve">illion – </w:t>
            </w:r>
            <w:r w:rsidRPr="00A23B49">
              <w:rPr>
                <w:rFonts w:asciiTheme="minorHAnsi" w:hAnsiTheme="minorHAnsi" w:cs="Arial"/>
                <w:sz w:val="22"/>
                <w:szCs w:val="22"/>
              </w:rPr>
              <w:t>$1.0</w:t>
            </w:r>
            <w:r w:rsidR="0091758D">
              <w:rPr>
                <w:rFonts w:asciiTheme="minorHAnsi" w:hAnsiTheme="minorHAnsi" w:cs="Arial"/>
                <w:sz w:val="22"/>
                <w:szCs w:val="22"/>
              </w:rPr>
              <w:t xml:space="preserve"> million</w:t>
            </w:r>
            <w:r w:rsidRPr="00A23B49">
              <w:rPr>
                <w:rFonts w:asciiTheme="minorHAnsi" w:hAnsiTheme="minorHAnsi" w:cs="Arial"/>
                <w:sz w:val="22"/>
                <w:szCs w:val="22"/>
              </w:rPr>
              <w:t xml:space="preserve"> per annum for expert advice to resolve disputes that arise</w:t>
            </w:r>
          </w:p>
        </w:tc>
      </w:tr>
      <w:tr w:rsidR="00475750" w:rsidRPr="00AA4D6E" w14:paraId="4BB47908" w14:textId="77777777" w:rsidTr="00475750">
        <w:tc>
          <w:tcPr>
            <w:tcW w:w="1319" w:type="pct"/>
            <w:tcBorders>
              <w:top w:val="single" w:sz="4" w:space="0" w:color="auto"/>
              <w:bottom w:val="single" w:sz="4" w:space="0" w:color="auto"/>
            </w:tcBorders>
          </w:tcPr>
          <w:p w14:paraId="0DE2A0AD" w14:textId="4B5BA614" w:rsidR="00475750" w:rsidRPr="00AA4D6E" w:rsidRDefault="00475750" w:rsidP="00F83C84">
            <w:pPr>
              <w:keepNext/>
              <w:spacing w:before="60" w:after="60"/>
              <w:rPr>
                <w:rFonts w:asciiTheme="minorHAnsi" w:hAnsiTheme="minorHAnsi" w:cs="Arial"/>
              </w:rPr>
            </w:pPr>
            <w:r w:rsidRPr="00AA4D6E">
              <w:rPr>
                <w:rFonts w:asciiTheme="minorHAnsi" w:hAnsiTheme="minorHAnsi" w:cs="Arial"/>
              </w:rPr>
              <w:t>Customers pay</w:t>
            </w:r>
          </w:p>
        </w:tc>
        <w:tc>
          <w:tcPr>
            <w:tcW w:w="3681" w:type="pct"/>
            <w:tcBorders>
              <w:top w:val="single" w:sz="4" w:space="0" w:color="auto"/>
              <w:bottom w:val="single" w:sz="4" w:space="0" w:color="auto"/>
            </w:tcBorders>
          </w:tcPr>
          <w:p w14:paraId="4A3AC56B" w14:textId="3095FD2F" w:rsidR="00475750" w:rsidRPr="00A23B49" w:rsidRDefault="00475750" w:rsidP="00D9724C">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0.1 FTE</w:t>
            </w:r>
          </w:p>
        </w:tc>
      </w:tr>
    </w:tbl>
    <w:p w14:paraId="2C50CC68" w14:textId="25ACDBE7" w:rsidR="003C11F7" w:rsidRPr="00A11265" w:rsidRDefault="00475750" w:rsidP="003C11F7">
      <w:pPr>
        <w:rPr>
          <w:rFonts w:asciiTheme="minorHAnsi" w:hAnsiTheme="minorHAnsi" w:cs="Arial"/>
          <w:sz w:val="18"/>
          <w:szCs w:val="18"/>
        </w:rPr>
      </w:pPr>
      <w:r w:rsidRPr="00A11265">
        <w:rPr>
          <w:rFonts w:asciiTheme="minorHAnsi" w:hAnsiTheme="minorHAnsi" w:cs="Arial"/>
          <w:i/>
          <w:sz w:val="18"/>
          <w:szCs w:val="18"/>
        </w:rPr>
        <w:t>Source:</w:t>
      </w:r>
      <w:r w:rsidR="00EF69E9" w:rsidRPr="00A11265">
        <w:rPr>
          <w:rFonts w:asciiTheme="minorHAnsi" w:hAnsiTheme="minorHAnsi" w:cs="Arial"/>
          <w:sz w:val="18"/>
          <w:szCs w:val="18"/>
        </w:rPr>
        <w:t xml:space="preserve"> A</w:t>
      </w:r>
      <w:r w:rsidR="001913B5">
        <w:rPr>
          <w:rFonts w:asciiTheme="minorHAnsi" w:hAnsiTheme="minorHAnsi" w:cs="Arial"/>
          <w:sz w:val="18"/>
          <w:szCs w:val="18"/>
        </w:rPr>
        <w:t>CIL</w:t>
      </w:r>
      <w:r w:rsidR="00EF69E9" w:rsidRPr="00A11265">
        <w:rPr>
          <w:rFonts w:asciiTheme="minorHAnsi" w:hAnsiTheme="minorHAnsi" w:cs="Arial"/>
          <w:sz w:val="18"/>
          <w:szCs w:val="18"/>
        </w:rPr>
        <w:t xml:space="preserve"> Allen</w:t>
      </w:r>
    </w:p>
    <w:p w14:paraId="404EA855" w14:textId="77777777" w:rsidR="008F2F5E" w:rsidRPr="00A11265" w:rsidRDefault="008F2F5E" w:rsidP="003C11F7">
      <w:pPr>
        <w:rPr>
          <w:rFonts w:asciiTheme="minorHAnsi" w:hAnsiTheme="minorHAnsi" w:cs="Arial"/>
          <w:sz w:val="18"/>
          <w:szCs w:val="18"/>
        </w:rPr>
      </w:pPr>
    </w:p>
    <w:p w14:paraId="0BC3CFCD" w14:textId="1F794893" w:rsidR="00A57D48" w:rsidRPr="00A11265" w:rsidRDefault="00A57D48" w:rsidP="00714502">
      <w:pPr>
        <w:pStyle w:val="Heading3"/>
        <w:keepNext/>
        <w:rPr>
          <w:szCs w:val="24"/>
          <w:lang w:eastAsia="en-AU"/>
        </w:rPr>
      </w:pPr>
      <w:r w:rsidRPr="00A11265">
        <w:rPr>
          <w:szCs w:val="24"/>
          <w:lang w:eastAsia="en-AU"/>
        </w:rPr>
        <w:t>Settlement</w:t>
      </w:r>
    </w:p>
    <w:p w14:paraId="5FDA2ADB" w14:textId="394F0052" w:rsidR="006E02A3" w:rsidRPr="00A11265" w:rsidRDefault="006E02A3" w:rsidP="00D24B1D">
      <w:pPr>
        <w:pStyle w:val="Heading4"/>
      </w:pPr>
      <w:r w:rsidRPr="00A11265">
        <w:t>Service</w:t>
      </w:r>
      <w:r w:rsidR="001913B5">
        <w:t>s</w:t>
      </w:r>
      <w:r w:rsidRPr="00A11265">
        <w:t xml:space="preserve"> the responsibility of the System Controller</w:t>
      </w:r>
    </w:p>
    <w:p w14:paraId="7D3CEC77" w14:textId="54266414" w:rsidR="00122BA6" w:rsidRPr="00A11265" w:rsidRDefault="00B55AEE" w:rsidP="003C11F7">
      <w:pPr>
        <w:rPr>
          <w:rFonts w:asciiTheme="minorHAnsi" w:hAnsiTheme="minorHAnsi" w:cs="Arial"/>
        </w:rPr>
      </w:pPr>
      <w:r w:rsidRPr="00A11265">
        <w:rPr>
          <w:rFonts w:asciiTheme="minorHAnsi" w:hAnsiTheme="minorHAnsi" w:cs="Arial"/>
        </w:rPr>
        <w:t>Under the Design Development Team’s draft position that the provision of essential system services be opened to competition,</w:t>
      </w:r>
      <w:r w:rsidR="0043111E" w:rsidRPr="00A11265">
        <w:rPr>
          <w:rFonts w:asciiTheme="minorHAnsi" w:hAnsiTheme="minorHAnsi" w:cs="Arial"/>
        </w:rPr>
        <w:t xml:space="preserve"> </w:t>
      </w:r>
      <w:r w:rsidR="00122BA6" w:rsidRPr="00A11265">
        <w:rPr>
          <w:rFonts w:asciiTheme="minorHAnsi" w:hAnsiTheme="minorHAnsi" w:cs="Arial"/>
        </w:rPr>
        <w:t xml:space="preserve">the existing arrangements for settlement of essential system services, whereby the System Controller prepares statements for invoicing </w:t>
      </w:r>
      <w:r w:rsidR="00EF69E9" w:rsidRPr="00A11265">
        <w:rPr>
          <w:rFonts w:asciiTheme="minorHAnsi" w:hAnsiTheme="minorHAnsi" w:cs="Arial"/>
        </w:rPr>
        <w:t xml:space="preserve">by </w:t>
      </w:r>
      <w:r w:rsidR="009B2985" w:rsidRPr="00A11265">
        <w:rPr>
          <w:rFonts w:asciiTheme="minorHAnsi" w:hAnsiTheme="minorHAnsi" w:cs="Arial"/>
        </w:rPr>
        <w:t>T-Gen, would be</w:t>
      </w:r>
      <w:r w:rsidR="00122BA6" w:rsidRPr="00A11265">
        <w:rPr>
          <w:rFonts w:asciiTheme="minorHAnsi" w:hAnsiTheme="minorHAnsi" w:cs="Arial"/>
        </w:rPr>
        <w:t xml:space="preserve"> </w:t>
      </w:r>
      <w:r w:rsidR="009B2985" w:rsidRPr="00A11265">
        <w:rPr>
          <w:rFonts w:asciiTheme="minorHAnsi" w:hAnsiTheme="minorHAnsi" w:cs="Arial"/>
        </w:rPr>
        <w:t>in</w:t>
      </w:r>
      <w:r w:rsidR="00122BA6" w:rsidRPr="00A11265">
        <w:rPr>
          <w:rFonts w:asciiTheme="minorHAnsi" w:hAnsiTheme="minorHAnsi" w:cs="Arial"/>
        </w:rPr>
        <w:t>adequate.</w:t>
      </w:r>
    </w:p>
    <w:p w14:paraId="592BC676" w14:textId="1A9FCF6E" w:rsidR="00580494" w:rsidRPr="00A11265" w:rsidRDefault="00B55AEE" w:rsidP="009B2985">
      <w:pPr>
        <w:rPr>
          <w:rFonts w:asciiTheme="minorHAnsi" w:hAnsiTheme="minorHAnsi" w:cs="Arial"/>
        </w:rPr>
      </w:pPr>
      <w:r w:rsidRPr="00A11265">
        <w:rPr>
          <w:rFonts w:asciiTheme="minorHAnsi" w:hAnsiTheme="minorHAnsi" w:cs="Arial"/>
        </w:rPr>
        <w:t>Competitive provision arrangements would involve the</w:t>
      </w:r>
      <w:r w:rsidR="00BA0841" w:rsidRPr="00A11265">
        <w:rPr>
          <w:rFonts w:asciiTheme="minorHAnsi" w:hAnsiTheme="minorHAnsi" w:cs="Arial"/>
        </w:rPr>
        <w:t xml:space="preserve"> </w:t>
      </w:r>
      <w:r w:rsidR="00122BA6" w:rsidRPr="00A11265">
        <w:rPr>
          <w:rFonts w:asciiTheme="minorHAnsi" w:hAnsiTheme="minorHAnsi" w:cs="Arial"/>
        </w:rPr>
        <w:t>System Controller</w:t>
      </w:r>
      <w:r w:rsidR="00BA0841" w:rsidRPr="00A11265">
        <w:rPr>
          <w:rFonts w:asciiTheme="minorHAnsi" w:hAnsiTheme="minorHAnsi" w:cs="Arial"/>
        </w:rPr>
        <w:t xml:space="preserve"> procuring a variety of essential system services</w:t>
      </w:r>
      <w:r w:rsidRPr="00A11265">
        <w:rPr>
          <w:rFonts w:asciiTheme="minorHAnsi" w:hAnsiTheme="minorHAnsi" w:cs="Arial"/>
        </w:rPr>
        <w:t xml:space="preserve"> under contract from</w:t>
      </w:r>
      <w:r w:rsidR="00BA0841" w:rsidRPr="00A11265">
        <w:rPr>
          <w:rFonts w:asciiTheme="minorHAnsi" w:hAnsiTheme="minorHAnsi" w:cs="Arial"/>
        </w:rPr>
        <w:t xml:space="preserve"> providers. The System </w:t>
      </w:r>
      <w:r w:rsidR="009B2985" w:rsidRPr="00A11265">
        <w:rPr>
          <w:rFonts w:asciiTheme="minorHAnsi" w:hAnsiTheme="minorHAnsi" w:cs="Arial"/>
        </w:rPr>
        <w:t xml:space="preserve">Controller </w:t>
      </w:r>
      <w:r w:rsidRPr="00A11265">
        <w:rPr>
          <w:rFonts w:asciiTheme="minorHAnsi" w:hAnsiTheme="minorHAnsi" w:cs="Arial"/>
        </w:rPr>
        <w:t>would</w:t>
      </w:r>
      <w:r w:rsidR="000524DD" w:rsidRPr="00A11265">
        <w:rPr>
          <w:rFonts w:asciiTheme="minorHAnsi" w:hAnsiTheme="minorHAnsi" w:cs="Arial"/>
        </w:rPr>
        <w:t xml:space="preserve"> then need to</w:t>
      </w:r>
      <w:r w:rsidR="0043111E" w:rsidRPr="00A11265">
        <w:rPr>
          <w:rFonts w:asciiTheme="minorHAnsi" w:hAnsiTheme="minorHAnsi" w:cs="Arial"/>
        </w:rPr>
        <w:t xml:space="preserve"> recover the costs of</w:t>
      </w:r>
      <w:r w:rsidRPr="00A11265">
        <w:rPr>
          <w:rFonts w:asciiTheme="minorHAnsi" w:hAnsiTheme="minorHAnsi" w:cs="Arial"/>
        </w:rPr>
        <w:t xml:space="preserve"> the</w:t>
      </w:r>
      <w:r w:rsidR="0043111E" w:rsidRPr="00A11265">
        <w:rPr>
          <w:rFonts w:asciiTheme="minorHAnsi" w:hAnsiTheme="minorHAnsi" w:cs="Arial"/>
        </w:rPr>
        <w:t xml:space="preserve"> essential system services</w:t>
      </w:r>
      <w:r w:rsidRPr="00A11265">
        <w:rPr>
          <w:rFonts w:asciiTheme="minorHAnsi" w:hAnsiTheme="minorHAnsi" w:cs="Arial"/>
        </w:rPr>
        <w:t xml:space="preserve"> procured from system participants under the proposed causer-pays framework.</w:t>
      </w:r>
    </w:p>
    <w:p w14:paraId="3874DDAC" w14:textId="737CF05A" w:rsidR="006E02A3" w:rsidRPr="00A11265" w:rsidRDefault="00BC1EC0" w:rsidP="003C11F7">
      <w:pPr>
        <w:rPr>
          <w:rFonts w:asciiTheme="minorHAnsi" w:hAnsiTheme="minorHAnsi" w:cs="Arial"/>
        </w:rPr>
      </w:pPr>
      <w:r w:rsidRPr="00A11265">
        <w:rPr>
          <w:rFonts w:asciiTheme="minorHAnsi" w:hAnsiTheme="minorHAnsi" w:cs="Arial"/>
        </w:rPr>
        <w:t>As part of the Northern Territory Electricity</w:t>
      </w:r>
      <w:r w:rsidR="000524DD" w:rsidRPr="00A11265">
        <w:rPr>
          <w:rFonts w:asciiTheme="minorHAnsi" w:hAnsiTheme="minorHAnsi" w:cs="Arial"/>
        </w:rPr>
        <w:t xml:space="preserve"> Market</w:t>
      </w:r>
      <w:r w:rsidRPr="00A11265">
        <w:rPr>
          <w:rFonts w:asciiTheme="minorHAnsi" w:hAnsiTheme="minorHAnsi" w:cs="Arial"/>
        </w:rPr>
        <w:t xml:space="preserve"> Priority Reform Program, priority dispatch and settlement reforms outlined in this paper are being progressed. Pending their final design, there may be a need for some consequential amendments to settlement arrangements to accommodate the proposed essential system services reforms.</w:t>
      </w:r>
    </w:p>
    <w:p w14:paraId="3047D849" w14:textId="6F8FECBF" w:rsidR="006E02A3" w:rsidRPr="00A11265" w:rsidRDefault="006E02A3" w:rsidP="00D24B1D">
      <w:pPr>
        <w:pStyle w:val="Heading4"/>
      </w:pPr>
      <w:r w:rsidRPr="00A11265">
        <w:t>Services the responsibility of the Network Operator</w:t>
      </w:r>
    </w:p>
    <w:p w14:paraId="3F966D1B" w14:textId="77777777" w:rsidR="00B21B99" w:rsidRPr="00A11265" w:rsidRDefault="00B21B99" w:rsidP="00B21B99">
      <w:pPr>
        <w:spacing w:before="200"/>
        <w:rPr>
          <w:rFonts w:asciiTheme="minorHAnsi" w:hAnsiTheme="minorHAnsi" w:cs="Arial"/>
        </w:rPr>
      </w:pPr>
      <w:r w:rsidRPr="00A11265">
        <w:rPr>
          <w:rFonts w:asciiTheme="minorHAnsi" w:hAnsiTheme="minorHAnsi" w:cs="Arial"/>
        </w:rPr>
        <w:t>Locational services, such as voltage management / network support and system strength, are appropriately procured by the Network Operator.</w:t>
      </w:r>
    </w:p>
    <w:p w14:paraId="08E46D0B" w14:textId="77777777" w:rsidR="00B21B99" w:rsidRPr="00A11265" w:rsidRDefault="00B21B99" w:rsidP="00B21B99">
      <w:pPr>
        <w:spacing w:before="200"/>
        <w:rPr>
          <w:rFonts w:asciiTheme="minorHAnsi" w:hAnsiTheme="minorHAnsi" w:cs="Arial"/>
        </w:rPr>
      </w:pPr>
      <w:r w:rsidRPr="00A11265">
        <w:rPr>
          <w:rFonts w:asciiTheme="minorHAnsi" w:hAnsiTheme="minorHAnsi" w:cs="Arial"/>
        </w:rPr>
        <w:t>The Network Operator is subject to an incentive-based economic regulatory regime. Its revenues are determined on a five yearly basis by the Australian Energy Regulator, with prices set annually in accordance with the revenue determination. If the Network Operator is responsible for providing voltage management / network support and system strength services under the legislative and regulatory framework, then the revenue determined and the prices set to recover the costs associated with those services will be in accordance with the economic regulatory regime.</w:t>
      </w:r>
    </w:p>
    <w:p w14:paraId="32BE7C90" w14:textId="0D63D7FD" w:rsidR="003C11F7" w:rsidRPr="00A11265" w:rsidRDefault="003C11F7" w:rsidP="00D9724C">
      <w:pPr>
        <w:pStyle w:val="Heading2"/>
        <w:keepNext/>
        <w:rPr>
          <w:lang w:eastAsia="en-AU"/>
        </w:rPr>
      </w:pPr>
      <w:bookmarkStart w:id="202" w:name="_Toc61852413"/>
      <w:bookmarkStart w:id="203" w:name="_Toc61956212"/>
      <w:bookmarkEnd w:id="202"/>
      <w:r w:rsidRPr="00A11265">
        <w:rPr>
          <w:lang w:eastAsia="en-AU"/>
        </w:rPr>
        <w:t>Draft position</w:t>
      </w:r>
      <w:bookmarkEnd w:id="203"/>
    </w:p>
    <w:p w14:paraId="460F7366" w14:textId="7DF2B9B2" w:rsidR="0076656C" w:rsidRPr="00A11265" w:rsidRDefault="0076656C" w:rsidP="0076656C">
      <w:pPr>
        <w:rPr>
          <w:rFonts w:asciiTheme="minorHAnsi" w:hAnsiTheme="minorHAnsi" w:cs="Arial"/>
        </w:rPr>
      </w:pPr>
      <w:r w:rsidRPr="00A11265">
        <w:rPr>
          <w:rFonts w:asciiTheme="minorHAnsi" w:hAnsiTheme="minorHAnsi" w:cs="Arial"/>
        </w:rPr>
        <w:t>The current arrangements, which allocate essential system services costs to licenced generators based on their proportion of total energy sent out, are inequitable and inefficient because they do not allocate costs o</w:t>
      </w:r>
      <w:r w:rsidR="00176876">
        <w:rPr>
          <w:rFonts w:asciiTheme="minorHAnsi" w:hAnsiTheme="minorHAnsi" w:cs="Arial"/>
        </w:rPr>
        <w:t>n</w:t>
      </w:r>
      <w:r w:rsidRPr="00A11265">
        <w:rPr>
          <w:rFonts w:asciiTheme="minorHAnsi" w:hAnsiTheme="minorHAnsi" w:cs="Arial"/>
        </w:rPr>
        <w:t xml:space="preserve"> the basis of benefits received or contribution to requirements.</w:t>
      </w:r>
    </w:p>
    <w:p w14:paraId="59CAEA31" w14:textId="63CACE9C" w:rsidR="0076656C" w:rsidRPr="00A11265" w:rsidRDefault="0076656C" w:rsidP="0076656C">
      <w:pPr>
        <w:rPr>
          <w:rFonts w:asciiTheme="minorHAnsi" w:hAnsiTheme="minorHAnsi" w:cs="Arial"/>
        </w:rPr>
      </w:pPr>
      <w:r w:rsidRPr="00A11265">
        <w:rPr>
          <w:rFonts w:asciiTheme="minorHAnsi" w:hAnsiTheme="minorHAnsi" w:cs="Arial"/>
        </w:rPr>
        <w:t>Costs for essential system services should instead be allocated according to the principle of causer pays. Although this approach is administratively more costly than the current approach, it is more efficient as the costs of providing essential system services are paid by the parties causing the need for those services. For this reason, it provides an incentive to parties to minimise their contribution to essential system services requirements.</w:t>
      </w:r>
    </w:p>
    <w:p w14:paraId="58874758" w14:textId="766514B4" w:rsidR="0076656C" w:rsidRDefault="0076656C" w:rsidP="0076656C">
      <w:pPr>
        <w:rPr>
          <w:rFonts w:asciiTheme="minorHAnsi" w:hAnsiTheme="minorHAnsi" w:cs="Arial"/>
        </w:rPr>
      </w:pPr>
      <w:r w:rsidRPr="00A11265">
        <w:rPr>
          <w:rFonts w:asciiTheme="minorHAnsi" w:hAnsiTheme="minorHAnsi" w:cs="Arial"/>
        </w:rPr>
        <w:t xml:space="preserve">The Design Development Team’s proposed allocation of costs by essential system service type is outlined in </w:t>
      </w:r>
      <w:r w:rsidR="00E33F08">
        <w:rPr>
          <w:rFonts w:asciiTheme="minorHAnsi" w:hAnsiTheme="minorHAnsi" w:cs="Arial"/>
        </w:rPr>
        <w:t>T</w:t>
      </w:r>
      <w:r w:rsidRPr="00A11265">
        <w:rPr>
          <w:rFonts w:asciiTheme="minorHAnsi" w:hAnsiTheme="minorHAnsi" w:cs="Arial"/>
        </w:rPr>
        <w:t>able 7-2.</w:t>
      </w:r>
    </w:p>
    <w:p w14:paraId="1F454007" w14:textId="77777777" w:rsidR="00272466" w:rsidRPr="00A11265" w:rsidRDefault="00272466" w:rsidP="0076656C">
      <w:pPr>
        <w:rPr>
          <w:rFonts w:asciiTheme="minorHAnsi" w:hAnsiTheme="minorHAnsi" w:cs="Arial"/>
        </w:rPr>
      </w:pPr>
    </w:p>
    <w:p w14:paraId="58C8EA3C" w14:textId="7366D5AC" w:rsidR="0076656C" w:rsidRPr="00AA4D6E" w:rsidRDefault="0076656C" w:rsidP="0076656C">
      <w:pPr>
        <w:keepNext/>
        <w:spacing w:after="0"/>
        <w:rPr>
          <w:rFonts w:asciiTheme="minorHAnsi" w:hAnsiTheme="minorHAnsi" w:cs="Arial"/>
          <w:b/>
        </w:rPr>
      </w:pPr>
      <w:r w:rsidRPr="00AA4D6E">
        <w:rPr>
          <w:rFonts w:asciiTheme="minorHAnsi" w:hAnsiTheme="minorHAnsi" w:cs="Arial"/>
          <w:b/>
        </w:rPr>
        <w:lastRenderedPageBreak/>
        <w:t>Table 7-2</w:t>
      </w:r>
      <w:r w:rsidRPr="00AA4D6E">
        <w:rPr>
          <w:rFonts w:asciiTheme="minorHAnsi" w:hAnsiTheme="minorHAnsi" w:cs="Arial"/>
          <w:b/>
        </w:rPr>
        <w:tab/>
        <w:t>Party liable for each essential system service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4"/>
        <w:gridCol w:w="6264"/>
      </w:tblGrid>
      <w:tr w:rsidR="0076656C" w:rsidRPr="00AA4D6E" w14:paraId="4239B5A2" w14:textId="77777777" w:rsidTr="00154622">
        <w:trPr>
          <w:tblHeader/>
        </w:trPr>
        <w:tc>
          <w:tcPr>
            <w:tcW w:w="0" w:type="auto"/>
            <w:tcBorders>
              <w:top w:val="single" w:sz="4" w:space="0" w:color="auto"/>
              <w:bottom w:val="single" w:sz="4" w:space="0" w:color="auto"/>
            </w:tcBorders>
          </w:tcPr>
          <w:p w14:paraId="2ECEF5E3" w14:textId="77777777" w:rsidR="0076656C" w:rsidRPr="00AA4D6E" w:rsidRDefault="0076656C" w:rsidP="001F0228">
            <w:pPr>
              <w:keepNext/>
              <w:rPr>
                <w:rFonts w:asciiTheme="minorHAnsi" w:hAnsiTheme="minorHAnsi" w:cs="Arial"/>
                <w:b/>
              </w:rPr>
            </w:pPr>
            <w:r w:rsidRPr="00AA4D6E">
              <w:rPr>
                <w:rFonts w:asciiTheme="minorHAnsi" w:hAnsiTheme="minorHAnsi"/>
                <w:b/>
              </w:rPr>
              <w:t>Option</w:t>
            </w:r>
          </w:p>
        </w:tc>
        <w:tc>
          <w:tcPr>
            <w:tcW w:w="0" w:type="auto"/>
            <w:tcBorders>
              <w:top w:val="single" w:sz="4" w:space="0" w:color="auto"/>
              <w:bottom w:val="single" w:sz="4" w:space="0" w:color="auto"/>
            </w:tcBorders>
          </w:tcPr>
          <w:p w14:paraId="54BBC321" w14:textId="4B202524" w:rsidR="0076656C" w:rsidRPr="00AA4D6E" w:rsidRDefault="0076656C" w:rsidP="001F0228">
            <w:pPr>
              <w:keepNext/>
              <w:rPr>
                <w:rFonts w:asciiTheme="minorHAnsi" w:hAnsiTheme="minorHAnsi"/>
                <w:b/>
              </w:rPr>
            </w:pPr>
            <w:r w:rsidRPr="00AA4D6E">
              <w:rPr>
                <w:rFonts w:asciiTheme="minorHAnsi" w:hAnsiTheme="minorHAnsi"/>
                <w:b/>
              </w:rPr>
              <w:t>Allocation</w:t>
            </w:r>
          </w:p>
        </w:tc>
      </w:tr>
      <w:tr w:rsidR="0076656C" w:rsidRPr="00AA4D6E" w14:paraId="0911ACA4" w14:textId="77777777" w:rsidTr="00F51F16">
        <w:tc>
          <w:tcPr>
            <w:tcW w:w="0" w:type="auto"/>
            <w:tcBorders>
              <w:top w:val="single" w:sz="4" w:space="0" w:color="auto"/>
              <w:bottom w:val="single" w:sz="4" w:space="0" w:color="auto"/>
            </w:tcBorders>
          </w:tcPr>
          <w:p w14:paraId="3AF9F03A" w14:textId="77777777" w:rsidR="0076656C" w:rsidRPr="00AA4D6E" w:rsidRDefault="0076656C" w:rsidP="001F0228">
            <w:pPr>
              <w:keepNext/>
              <w:spacing w:before="60" w:after="60"/>
              <w:rPr>
                <w:rFonts w:asciiTheme="minorHAnsi" w:hAnsiTheme="minorHAnsi" w:cs="Arial"/>
              </w:rPr>
            </w:pPr>
            <w:r w:rsidRPr="00AA4D6E">
              <w:rPr>
                <w:rFonts w:asciiTheme="minorHAnsi" w:hAnsiTheme="minorHAnsi" w:cs="Arial"/>
              </w:rPr>
              <w:t>Contingency raise</w:t>
            </w:r>
          </w:p>
        </w:tc>
        <w:tc>
          <w:tcPr>
            <w:tcW w:w="0" w:type="auto"/>
            <w:tcBorders>
              <w:top w:val="single" w:sz="4" w:space="0" w:color="auto"/>
              <w:bottom w:val="single" w:sz="4" w:space="0" w:color="auto"/>
            </w:tcBorders>
          </w:tcPr>
          <w:p w14:paraId="2181BBE3" w14:textId="77777777" w:rsidR="0076656C" w:rsidRPr="00A23B49" w:rsidRDefault="0076656C" w:rsidP="001F0228">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Generators</w:t>
            </w:r>
          </w:p>
        </w:tc>
      </w:tr>
      <w:tr w:rsidR="0076656C" w:rsidRPr="00AA4D6E" w14:paraId="2D3C95B8" w14:textId="77777777" w:rsidTr="00F51F16">
        <w:tc>
          <w:tcPr>
            <w:tcW w:w="0" w:type="auto"/>
            <w:tcBorders>
              <w:top w:val="single" w:sz="4" w:space="0" w:color="auto"/>
              <w:bottom w:val="single" w:sz="4" w:space="0" w:color="auto"/>
            </w:tcBorders>
          </w:tcPr>
          <w:p w14:paraId="0618B366" w14:textId="77777777" w:rsidR="0076656C" w:rsidRPr="00AA4D6E" w:rsidRDefault="0076656C" w:rsidP="001F0228">
            <w:pPr>
              <w:keepNext/>
              <w:spacing w:before="60" w:after="60"/>
              <w:rPr>
                <w:rFonts w:asciiTheme="minorHAnsi" w:hAnsiTheme="minorHAnsi" w:cs="Arial"/>
              </w:rPr>
            </w:pPr>
            <w:r w:rsidRPr="00AA4D6E">
              <w:rPr>
                <w:rFonts w:asciiTheme="minorHAnsi" w:hAnsiTheme="minorHAnsi" w:cs="Arial"/>
              </w:rPr>
              <w:t>Contingency lower</w:t>
            </w:r>
          </w:p>
        </w:tc>
        <w:tc>
          <w:tcPr>
            <w:tcW w:w="0" w:type="auto"/>
            <w:tcBorders>
              <w:top w:val="single" w:sz="4" w:space="0" w:color="auto"/>
              <w:bottom w:val="single" w:sz="4" w:space="0" w:color="auto"/>
            </w:tcBorders>
          </w:tcPr>
          <w:p w14:paraId="7CA6FCC9" w14:textId="77777777" w:rsidR="0076656C" w:rsidRPr="00A23B49" w:rsidRDefault="0076656C" w:rsidP="001F0228">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Customers</w:t>
            </w:r>
          </w:p>
        </w:tc>
      </w:tr>
      <w:tr w:rsidR="0076656C" w:rsidRPr="00AA4D6E" w14:paraId="378E3185" w14:textId="77777777" w:rsidTr="00F51F16">
        <w:tc>
          <w:tcPr>
            <w:tcW w:w="0" w:type="auto"/>
            <w:tcBorders>
              <w:top w:val="single" w:sz="4" w:space="0" w:color="auto"/>
              <w:bottom w:val="single" w:sz="4" w:space="0" w:color="auto"/>
            </w:tcBorders>
          </w:tcPr>
          <w:p w14:paraId="08488080" w14:textId="77777777" w:rsidR="0076656C" w:rsidRPr="00AA4D6E" w:rsidRDefault="0076656C" w:rsidP="001F0228">
            <w:pPr>
              <w:keepNext/>
              <w:spacing w:before="60" w:after="60"/>
              <w:rPr>
                <w:rFonts w:asciiTheme="minorHAnsi" w:hAnsiTheme="minorHAnsi" w:cs="Arial"/>
              </w:rPr>
            </w:pPr>
            <w:proofErr w:type="spellStart"/>
            <w:r w:rsidRPr="00AA4D6E">
              <w:rPr>
                <w:rFonts w:asciiTheme="minorHAnsi" w:hAnsiTheme="minorHAnsi" w:cs="Arial"/>
              </w:rPr>
              <w:t>RoCoF</w:t>
            </w:r>
            <w:proofErr w:type="spellEnd"/>
          </w:p>
        </w:tc>
        <w:tc>
          <w:tcPr>
            <w:tcW w:w="0" w:type="auto"/>
            <w:tcBorders>
              <w:top w:val="single" w:sz="4" w:space="0" w:color="auto"/>
              <w:bottom w:val="single" w:sz="4" w:space="0" w:color="auto"/>
            </w:tcBorders>
          </w:tcPr>
          <w:p w14:paraId="60765B01" w14:textId="765975A5" w:rsidR="0076656C" w:rsidRPr="00A23B49" w:rsidRDefault="0076656C" w:rsidP="001F0228">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Parties that cause the service to be enabled</w:t>
            </w:r>
          </w:p>
        </w:tc>
      </w:tr>
      <w:tr w:rsidR="0076656C" w:rsidRPr="00AA4D6E" w14:paraId="5FADF34D" w14:textId="77777777" w:rsidTr="00F51F16">
        <w:tc>
          <w:tcPr>
            <w:tcW w:w="0" w:type="auto"/>
            <w:tcBorders>
              <w:top w:val="single" w:sz="4" w:space="0" w:color="auto"/>
              <w:bottom w:val="single" w:sz="4" w:space="0" w:color="auto"/>
            </w:tcBorders>
          </w:tcPr>
          <w:p w14:paraId="650E9454" w14:textId="77777777" w:rsidR="0076656C" w:rsidRPr="00AA4D6E" w:rsidRDefault="0076656C" w:rsidP="001F0228">
            <w:pPr>
              <w:keepNext/>
              <w:spacing w:before="60" w:after="60"/>
              <w:rPr>
                <w:rFonts w:asciiTheme="minorHAnsi" w:hAnsiTheme="minorHAnsi" w:cs="Arial"/>
              </w:rPr>
            </w:pPr>
            <w:r w:rsidRPr="00AA4D6E">
              <w:rPr>
                <w:rFonts w:asciiTheme="minorHAnsi" w:hAnsiTheme="minorHAnsi" w:cs="Arial"/>
              </w:rPr>
              <w:t>Regulation</w:t>
            </w:r>
          </w:p>
        </w:tc>
        <w:tc>
          <w:tcPr>
            <w:tcW w:w="0" w:type="auto"/>
            <w:tcBorders>
              <w:top w:val="single" w:sz="4" w:space="0" w:color="auto"/>
              <w:bottom w:val="single" w:sz="4" w:space="0" w:color="auto"/>
            </w:tcBorders>
          </w:tcPr>
          <w:p w14:paraId="7B5D529F" w14:textId="77777777" w:rsidR="0076656C" w:rsidRPr="00A23B49" w:rsidRDefault="0076656C" w:rsidP="001F0228">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Generators and customers that cause frequency deviations</w:t>
            </w:r>
          </w:p>
          <w:p w14:paraId="4637A47C" w14:textId="61034508" w:rsidR="0076656C" w:rsidRPr="00A23B49" w:rsidRDefault="0076656C" w:rsidP="001F0228">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Customers without SCADA — balance</w:t>
            </w:r>
          </w:p>
        </w:tc>
      </w:tr>
      <w:tr w:rsidR="0076656C" w:rsidRPr="00AA4D6E" w14:paraId="7DEC77DB" w14:textId="77777777" w:rsidTr="00F51F16">
        <w:tc>
          <w:tcPr>
            <w:tcW w:w="0" w:type="auto"/>
            <w:tcBorders>
              <w:top w:val="single" w:sz="4" w:space="0" w:color="auto"/>
              <w:bottom w:val="single" w:sz="4" w:space="0" w:color="auto"/>
            </w:tcBorders>
          </w:tcPr>
          <w:p w14:paraId="2F5BAB0A" w14:textId="557C3B1E" w:rsidR="0076656C" w:rsidRPr="00AA4D6E" w:rsidRDefault="0076656C" w:rsidP="001F0228">
            <w:pPr>
              <w:keepNext/>
              <w:spacing w:before="60" w:after="60"/>
              <w:rPr>
                <w:rFonts w:asciiTheme="minorHAnsi" w:hAnsiTheme="minorHAnsi" w:cs="Arial"/>
              </w:rPr>
            </w:pPr>
            <w:r w:rsidRPr="00AA4D6E">
              <w:rPr>
                <w:rFonts w:asciiTheme="minorHAnsi" w:hAnsiTheme="minorHAnsi" w:cs="Arial"/>
              </w:rPr>
              <w:t>Voltage management / network support</w:t>
            </w:r>
          </w:p>
        </w:tc>
        <w:tc>
          <w:tcPr>
            <w:tcW w:w="0" w:type="auto"/>
            <w:tcBorders>
              <w:top w:val="single" w:sz="4" w:space="0" w:color="auto"/>
              <w:bottom w:val="single" w:sz="4" w:space="0" w:color="auto"/>
            </w:tcBorders>
          </w:tcPr>
          <w:p w14:paraId="6ABD5ED8" w14:textId="77777777" w:rsidR="0076656C" w:rsidRPr="00A23B49" w:rsidRDefault="0076656C" w:rsidP="001F0228">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Customers</w:t>
            </w:r>
          </w:p>
        </w:tc>
      </w:tr>
      <w:tr w:rsidR="0076656C" w:rsidRPr="00AA4D6E" w14:paraId="493F803B" w14:textId="77777777" w:rsidTr="00F51F16">
        <w:tc>
          <w:tcPr>
            <w:tcW w:w="0" w:type="auto"/>
            <w:tcBorders>
              <w:top w:val="single" w:sz="4" w:space="0" w:color="auto"/>
              <w:bottom w:val="single" w:sz="4" w:space="0" w:color="auto"/>
            </w:tcBorders>
          </w:tcPr>
          <w:p w14:paraId="73BF0245" w14:textId="77777777" w:rsidR="0076656C" w:rsidRPr="00AA4D6E" w:rsidRDefault="0076656C" w:rsidP="001F0228">
            <w:pPr>
              <w:keepNext/>
              <w:spacing w:before="60" w:after="60"/>
              <w:rPr>
                <w:rFonts w:asciiTheme="minorHAnsi" w:hAnsiTheme="minorHAnsi" w:cs="Arial"/>
              </w:rPr>
            </w:pPr>
            <w:r w:rsidRPr="00AA4D6E">
              <w:rPr>
                <w:rFonts w:asciiTheme="minorHAnsi" w:hAnsiTheme="minorHAnsi" w:cs="Arial"/>
              </w:rPr>
              <w:t>System Restart</w:t>
            </w:r>
          </w:p>
        </w:tc>
        <w:tc>
          <w:tcPr>
            <w:tcW w:w="0" w:type="auto"/>
            <w:tcBorders>
              <w:top w:val="single" w:sz="4" w:space="0" w:color="auto"/>
              <w:bottom w:val="single" w:sz="4" w:space="0" w:color="auto"/>
            </w:tcBorders>
          </w:tcPr>
          <w:p w14:paraId="01C6F8B2" w14:textId="77777777" w:rsidR="0076656C" w:rsidRPr="00A23B49" w:rsidRDefault="0076656C" w:rsidP="001F0228">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Generators and customers</w:t>
            </w:r>
          </w:p>
        </w:tc>
      </w:tr>
      <w:tr w:rsidR="0076656C" w:rsidRPr="00AA4D6E" w14:paraId="7747B85F" w14:textId="77777777" w:rsidTr="00F51F16">
        <w:tc>
          <w:tcPr>
            <w:tcW w:w="0" w:type="auto"/>
            <w:tcBorders>
              <w:top w:val="single" w:sz="4" w:space="0" w:color="auto"/>
              <w:bottom w:val="single" w:sz="4" w:space="0" w:color="auto"/>
            </w:tcBorders>
          </w:tcPr>
          <w:p w14:paraId="242740CA" w14:textId="77777777" w:rsidR="0076656C" w:rsidRPr="00AA4D6E" w:rsidRDefault="0076656C" w:rsidP="001F0228">
            <w:pPr>
              <w:keepNext/>
              <w:spacing w:before="60" w:after="60"/>
              <w:rPr>
                <w:rFonts w:asciiTheme="minorHAnsi" w:hAnsiTheme="minorHAnsi" w:cs="Arial"/>
              </w:rPr>
            </w:pPr>
            <w:r w:rsidRPr="00AA4D6E">
              <w:rPr>
                <w:rFonts w:asciiTheme="minorHAnsi" w:hAnsiTheme="minorHAnsi" w:cs="Arial"/>
              </w:rPr>
              <w:t>System Strength</w:t>
            </w:r>
          </w:p>
        </w:tc>
        <w:tc>
          <w:tcPr>
            <w:tcW w:w="0" w:type="auto"/>
            <w:tcBorders>
              <w:top w:val="single" w:sz="4" w:space="0" w:color="auto"/>
              <w:bottom w:val="single" w:sz="4" w:space="0" w:color="auto"/>
            </w:tcBorders>
          </w:tcPr>
          <w:p w14:paraId="10ED3856" w14:textId="77777777" w:rsidR="0076656C" w:rsidRPr="00A23B49" w:rsidRDefault="0076656C" w:rsidP="001F0228">
            <w:pPr>
              <w:pStyle w:val="Body"/>
              <w:keepNext/>
              <w:spacing w:after="60"/>
              <w:rPr>
                <w:rFonts w:asciiTheme="minorHAnsi" w:hAnsiTheme="minorHAnsi" w:cs="Arial"/>
                <w:sz w:val="22"/>
                <w:szCs w:val="22"/>
              </w:rPr>
            </w:pPr>
            <w:r w:rsidRPr="00A23B49">
              <w:rPr>
                <w:rFonts w:asciiTheme="minorHAnsi" w:hAnsiTheme="minorHAnsi" w:cs="Arial"/>
                <w:sz w:val="22"/>
                <w:szCs w:val="22"/>
              </w:rPr>
              <w:t xml:space="preserve">Where possible, </w:t>
            </w:r>
            <w:proofErr w:type="spellStart"/>
            <w:r w:rsidRPr="00A23B49">
              <w:rPr>
                <w:rFonts w:asciiTheme="minorHAnsi" w:hAnsiTheme="minorHAnsi" w:cs="Arial"/>
                <w:sz w:val="22"/>
                <w:szCs w:val="22"/>
              </w:rPr>
              <w:t>party</w:t>
            </w:r>
            <w:proofErr w:type="spellEnd"/>
            <w:r w:rsidRPr="00A23B49">
              <w:rPr>
                <w:rFonts w:asciiTheme="minorHAnsi" w:hAnsiTheme="minorHAnsi" w:cs="Arial"/>
                <w:sz w:val="22"/>
                <w:szCs w:val="22"/>
              </w:rPr>
              <w:t xml:space="preserve"> responsible for the system strength issue</w:t>
            </w:r>
          </w:p>
          <w:p w14:paraId="7797027F" w14:textId="19F4C75E" w:rsidR="0076656C" w:rsidRPr="00A23B49" w:rsidRDefault="0076656C" w:rsidP="001F0228">
            <w:pPr>
              <w:pStyle w:val="Body"/>
              <w:keepNext/>
              <w:spacing w:after="60" w:line="240" w:lineRule="auto"/>
              <w:rPr>
                <w:rFonts w:asciiTheme="minorHAnsi" w:hAnsiTheme="minorHAnsi" w:cs="Arial"/>
                <w:sz w:val="22"/>
                <w:szCs w:val="22"/>
              </w:rPr>
            </w:pPr>
            <w:r w:rsidRPr="00A23B49">
              <w:rPr>
                <w:rFonts w:asciiTheme="minorHAnsi" w:hAnsiTheme="minorHAnsi" w:cs="Arial"/>
                <w:sz w:val="22"/>
                <w:szCs w:val="22"/>
              </w:rPr>
              <w:t>Customers — balance</w:t>
            </w:r>
          </w:p>
        </w:tc>
      </w:tr>
    </w:tbl>
    <w:p w14:paraId="157906A1" w14:textId="77777777" w:rsidR="0076656C" w:rsidRPr="00A11265" w:rsidRDefault="0076656C" w:rsidP="0076656C">
      <w:pPr>
        <w:rPr>
          <w:rFonts w:asciiTheme="minorHAnsi" w:hAnsiTheme="minorHAnsi" w:cs="Arial"/>
        </w:rPr>
      </w:pPr>
    </w:p>
    <w:p w14:paraId="5F001A8A" w14:textId="7A03103C" w:rsidR="0076656C" w:rsidRPr="00A11265" w:rsidRDefault="0076656C" w:rsidP="0076656C">
      <w:pPr>
        <w:rPr>
          <w:rFonts w:asciiTheme="minorHAnsi" w:hAnsiTheme="minorHAnsi" w:cs="Arial"/>
        </w:rPr>
      </w:pPr>
      <w:r w:rsidRPr="00A11265">
        <w:rPr>
          <w:rFonts w:asciiTheme="minorHAnsi" w:hAnsiTheme="minorHAnsi" w:cs="Arial"/>
        </w:rPr>
        <w:t>Detailed calculations for cost allocation would need to be determined as part of the development of the detailed essential system services settlement rules.</w:t>
      </w:r>
    </w:p>
    <w:p w14:paraId="220707FC" w14:textId="5E910FFA" w:rsidR="0076656C" w:rsidRPr="00A11265" w:rsidRDefault="0076656C" w:rsidP="0076656C">
      <w:pPr>
        <w:rPr>
          <w:rFonts w:asciiTheme="minorHAnsi" w:hAnsiTheme="minorHAnsi" w:cs="Arial"/>
        </w:rPr>
      </w:pPr>
      <w:r w:rsidRPr="00A11265">
        <w:rPr>
          <w:rFonts w:asciiTheme="minorHAnsi" w:hAnsiTheme="minorHAnsi" w:cs="Arial"/>
        </w:rPr>
        <w:t>The existing arrangements for settlement of essential system services, whereby the System Controller prepares statements for invoicing by T-Gen, would be inadequate under a competitive service provision framework.</w:t>
      </w:r>
    </w:p>
    <w:p w14:paraId="062758D3" w14:textId="7E1ED7D0" w:rsidR="009464A9" w:rsidRPr="00A11265" w:rsidRDefault="0076656C" w:rsidP="00CB560D">
      <w:pPr>
        <w:rPr>
          <w:rFonts w:asciiTheme="minorHAnsi" w:hAnsiTheme="minorHAnsi" w:cs="Arial"/>
        </w:rPr>
      </w:pPr>
      <w:r w:rsidRPr="00A11265">
        <w:rPr>
          <w:rFonts w:asciiTheme="minorHAnsi" w:hAnsiTheme="minorHAnsi" w:cs="Arial"/>
        </w:rPr>
        <w:t>As part of the Northern Territory Electricity Market Priority Reform Program, priority dispatch and settlement changes are being progressed. Pending their final design, there may be a need for some consequential amendments to dispatch and settlement arrangements to accommodate the proposed essential system services reforms.</w:t>
      </w:r>
    </w:p>
    <w:p w14:paraId="1EC5A4C0" w14:textId="77777777" w:rsidR="00CB560D" w:rsidRPr="00A11265" w:rsidRDefault="00CB560D" w:rsidP="00CB560D">
      <w:pPr>
        <w:rPr>
          <w:rFonts w:ascii="Arial" w:hAnsi="Arial" w:cs="Arial"/>
        </w:rPr>
      </w:pPr>
      <w:r w:rsidRPr="00A11265">
        <w:rPr>
          <w:rFonts w:ascii="Arial" w:hAnsi="Arial" w:cs="Arial"/>
        </w:rPr>
        <w:br w:type="page"/>
      </w:r>
    </w:p>
    <w:p w14:paraId="2DC90BF8" w14:textId="0831851A" w:rsidR="00353C2D" w:rsidRPr="00A11265" w:rsidRDefault="00353C2D" w:rsidP="00CB560D">
      <w:pPr>
        <w:pStyle w:val="Heading1"/>
        <w:rPr>
          <w:lang w:eastAsia="en-AU"/>
        </w:rPr>
      </w:pPr>
      <w:bookmarkStart w:id="204" w:name="_Toc61956213"/>
      <w:r w:rsidRPr="00A11265">
        <w:rPr>
          <w:lang w:eastAsia="en-AU"/>
        </w:rPr>
        <w:lastRenderedPageBreak/>
        <w:t>Implementation</w:t>
      </w:r>
      <w:bookmarkEnd w:id="204"/>
    </w:p>
    <w:p w14:paraId="3AA8CB51" w14:textId="004A3948" w:rsidR="0094502E" w:rsidRPr="00A11265" w:rsidRDefault="0094502E" w:rsidP="0094502E">
      <w:pPr>
        <w:rPr>
          <w:rFonts w:asciiTheme="minorHAnsi" w:hAnsiTheme="minorHAnsi" w:cs="Arial"/>
        </w:rPr>
      </w:pPr>
      <w:r w:rsidRPr="00A11265">
        <w:rPr>
          <w:rFonts w:asciiTheme="minorHAnsi" w:hAnsiTheme="minorHAnsi" w:cs="Arial"/>
        </w:rPr>
        <w:t xml:space="preserve">The revision of the existing </w:t>
      </w:r>
      <w:r w:rsidR="00385E06" w:rsidRPr="00A11265">
        <w:rPr>
          <w:rFonts w:asciiTheme="minorHAnsi" w:hAnsiTheme="minorHAnsi" w:cs="Arial"/>
        </w:rPr>
        <w:t>essential system services</w:t>
      </w:r>
      <w:r w:rsidRPr="00A11265">
        <w:rPr>
          <w:rFonts w:asciiTheme="minorHAnsi" w:hAnsiTheme="minorHAnsi" w:cs="Arial"/>
        </w:rPr>
        <w:t xml:space="preserve"> framework or the implementation of a new framework </w:t>
      </w:r>
      <w:r w:rsidR="004F7846" w:rsidRPr="00A11265">
        <w:rPr>
          <w:rFonts w:asciiTheme="minorHAnsi" w:hAnsiTheme="minorHAnsi" w:cs="Arial"/>
        </w:rPr>
        <w:t>will</w:t>
      </w:r>
      <w:r w:rsidRPr="00A11265">
        <w:rPr>
          <w:rFonts w:asciiTheme="minorHAnsi" w:hAnsiTheme="minorHAnsi" w:cs="Arial"/>
        </w:rPr>
        <w:t xml:space="preserve"> require changes to </w:t>
      </w:r>
      <w:r w:rsidR="004F7846" w:rsidRPr="00A11265">
        <w:rPr>
          <w:rFonts w:asciiTheme="minorHAnsi" w:hAnsiTheme="minorHAnsi" w:cs="Arial"/>
        </w:rPr>
        <w:t>regulations and codes.</w:t>
      </w:r>
    </w:p>
    <w:p w14:paraId="1424104B" w14:textId="56F9F732" w:rsidR="00CB560D" w:rsidRPr="00A11265" w:rsidRDefault="00BC33C7" w:rsidP="00CB560D">
      <w:pPr>
        <w:pStyle w:val="Heading2"/>
        <w:keepNext/>
        <w:rPr>
          <w:lang w:eastAsia="en-AU"/>
        </w:rPr>
      </w:pPr>
      <w:bookmarkStart w:id="205" w:name="_Toc61956214"/>
      <w:r w:rsidRPr="00A11265">
        <w:rPr>
          <w:lang w:eastAsia="en-AU"/>
        </w:rPr>
        <w:t>Background</w:t>
      </w:r>
      <w:bookmarkEnd w:id="205"/>
    </w:p>
    <w:p w14:paraId="600011DC" w14:textId="7D213C50" w:rsidR="00CB560D" w:rsidRPr="00A11265" w:rsidRDefault="00CB560D" w:rsidP="00CB560D">
      <w:pPr>
        <w:rPr>
          <w:rFonts w:asciiTheme="minorHAnsi" w:hAnsiTheme="minorHAnsi" w:cs="Arial"/>
        </w:rPr>
      </w:pPr>
      <w:r w:rsidRPr="00A11265">
        <w:rPr>
          <w:rFonts w:asciiTheme="minorHAnsi" w:hAnsiTheme="minorHAnsi" w:cs="Arial"/>
        </w:rPr>
        <w:t xml:space="preserve">The </w:t>
      </w:r>
      <w:r w:rsidR="00385E06" w:rsidRPr="00A11265">
        <w:rPr>
          <w:rFonts w:asciiTheme="minorHAnsi" w:hAnsiTheme="minorHAnsi" w:cs="Arial"/>
        </w:rPr>
        <w:t xml:space="preserve">Northern Territory’s regulated systems (Darwin-Katherine, Alice Springs and Tennant Creek) </w:t>
      </w:r>
      <w:r w:rsidRPr="00A11265">
        <w:rPr>
          <w:rFonts w:asciiTheme="minorHAnsi" w:hAnsiTheme="minorHAnsi" w:cs="Arial"/>
        </w:rPr>
        <w:t>currently operate under two electricity frameworks:</w:t>
      </w:r>
    </w:p>
    <w:p w14:paraId="7DBA1D07" w14:textId="77777777" w:rsidR="00CB560D" w:rsidRPr="00A11265" w:rsidRDefault="00CB560D" w:rsidP="001F613E">
      <w:pPr>
        <w:pStyle w:val="ListParagraph"/>
        <w:numPr>
          <w:ilvl w:val="0"/>
          <w:numId w:val="11"/>
        </w:numPr>
        <w:spacing w:before="200"/>
        <w:ind w:left="426"/>
        <w:rPr>
          <w:rFonts w:cs="Arial"/>
          <w:i/>
        </w:rPr>
      </w:pPr>
      <w:r w:rsidRPr="00A11265">
        <w:rPr>
          <w:rFonts w:cs="Arial"/>
          <w:i/>
        </w:rPr>
        <w:t>Industry Act</w:t>
      </w:r>
    </w:p>
    <w:p w14:paraId="67F89C43" w14:textId="7F13D134" w:rsidR="00CB560D" w:rsidRPr="00A11265" w:rsidRDefault="00CB560D" w:rsidP="009F1A6F">
      <w:pPr>
        <w:pStyle w:val="ListParagraph"/>
        <w:spacing w:before="200"/>
        <w:ind w:left="426"/>
        <w:rPr>
          <w:rFonts w:cs="Arial"/>
        </w:rPr>
      </w:pPr>
      <w:r w:rsidRPr="00A11265">
        <w:rPr>
          <w:rFonts w:cs="Arial"/>
        </w:rPr>
        <w:t xml:space="preserve">The </w:t>
      </w:r>
      <w:r w:rsidRPr="00A11265">
        <w:rPr>
          <w:rFonts w:cs="Arial"/>
          <w:i/>
        </w:rPr>
        <w:t>Electricity Reform Act 2001</w:t>
      </w:r>
      <w:r w:rsidR="00ED3F4A" w:rsidRPr="00A11265">
        <w:rPr>
          <w:rFonts w:cs="Arial"/>
          <w:i/>
        </w:rPr>
        <w:t xml:space="preserve"> </w:t>
      </w:r>
      <w:r w:rsidR="00ED3F4A" w:rsidRPr="00A11265">
        <w:rPr>
          <w:rFonts w:cs="Arial"/>
        </w:rPr>
        <w:t>(NT)</w:t>
      </w:r>
      <w:r w:rsidRPr="00A11265">
        <w:rPr>
          <w:rFonts w:cs="Arial"/>
        </w:rPr>
        <w:t xml:space="preserve"> provides an overarching framework for regulation of the </w:t>
      </w:r>
      <w:r w:rsidR="00385E06" w:rsidRPr="00A11265">
        <w:rPr>
          <w:rFonts w:cs="Arial"/>
        </w:rPr>
        <w:t>NT</w:t>
      </w:r>
      <w:r w:rsidRPr="00A11265">
        <w:rPr>
          <w:rFonts w:cs="Arial"/>
        </w:rPr>
        <w:t>’s electricity supply industry, declaring it to be a regulated industry, and setting out licencing requirements for electricity entities.</w:t>
      </w:r>
    </w:p>
    <w:p w14:paraId="478FA6F5" w14:textId="1783DDC0" w:rsidR="00CB560D" w:rsidRPr="00A11265" w:rsidRDefault="00CB560D" w:rsidP="009F1A6F">
      <w:pPr>
        <w:pStyle w:val="ListParagraph"/>
        <w:spacing w:before="200"/>
        <w:ind w:left="426"/>
        <w:rPr>
          <w:rFonts w:cs="Arial"/>
        </w:rPr>
      </w:pPr>
      <w:r w:rsidRPr="00A11265">
        <w:rPr>
          <w:rFonts w:cs="Arial"/>
        </w:rPr>
        <w:t xml:space="preserve">The </w:t>
      </w:r>
      <w:r w:rsidRPr="00A11265">
        <w:rPr>
          <w:rFonts w:cs="Arial"/>
          <w:i/>
        </w:rPr>
        <w:t>Electricity Reform Act</w:t>
      </w:r>
      <w:r w:rsidRPr="00A11265">
        <w:rPr>
          <w:rFonts w:cs="Arial"/>
        </w:rPr>
        <w:t xml:space="preserve"> and Regulations provide the head of power for the Power and Water Corporation</w:t>
      </w:r>
      <w:r w:rsidR="00385E06" w:rsidRPr="00A11265">
        <w:rPr>
          <w:rFonts w:cs="Arial"/>
        </w:rPr>
        <w:t xml:space="preserve"> (PWC)</w:t>
      </w:r>
      <w:r w:rsidRPr="00A11265">
        <w:rPr>
          <w:rFonts w:cs="Arial"/>
        </w:rPr>
        <w:t xml:space="preserve">, as the licenced </w:t>
      </w:r>
      <w:r w:rsidR="00F45B94" w:rsidRPr="00A11265">
        <w:rPr>
          <w:rFonts w:cs="Arial"/>
        </w:rPr>
        <w:t>S</w:t>
      </w:r>
      <w:r w:rsidRPr="00A11265">
        <w:rPr>
          <w:rFonts w:cs="Arial"/>
        </w:rPr>
        <w:t xml:space="preserve">ystem </w:t>
      </w:r>
      <w:r w:rsidR="00F45B94" w:rsidRPr="00A11265">
        <w:rPr>
          <w:rFonts w:cs="Arial"/>
        </w:rPr>
        <w:t>C</w:t>
      </w:r>
      <w:r w:rsidRPr="00A11265">
        <w:rPr>
          <w:rFonts w:cs="Arial"/>
        </w:rPr>
        <w:t xml:space="preserve">ontroller and </w:t>
      </w:r>
      <w:r w:rsidR="00F45B94" w:rsidRPr="00A11265">
        <w:rPr>
          <w:rFonts w:cs="Arial"/>
        </w:rPr>
        <w:t>N</w:t>
      </w:r>
      <w:r w:rsidRPr="00A11265">
        <w:rPr>
          <w:rFonts w:cs="Arial"/>
        </w:rPr>
        <w:t xml:space="preserve">etwork </w:t>
      </w:r>
      <w:r w:rsidR="00F45B94" w:rsidRPr="00A11265">
        <w:rPr>
          <w:rFonts w:cs="Arial"/>
        </w:rPr>
        <w:t>O</w:t>
      </w:r>
      <w:r w:rsidRPr="00A11265">
        <w:rPr>
          <w:rFonts w:cs="Arial"/>
        </w:rPr>
        <w:t xml:space="preserve">perator for the </w:t>
      </w:r>
      <w:r w:rsidR="00385E06" w:rsidRPr="00A11265">
        <w:rPr>
          <w:rFonts w:cs="Arial"/>
        </w:rPr>
        <w:t>NT regulated systems</w:t>
      </w:r>
      <w:r w:rsidRPr="00A11265">
        <w:rPr>
          <w:rFonts w:cs="Arial"/>
        </w:rPr>
        <w:t>, to manage the system</w:t>
      </w:r>
      <w:r w:rsidR="00F45B94" w:rsidRPr="00A11265">
        <w:rPr>
          <w:rFonts w:cs="Arial"/>
        </w:rPr>
        <w:t>s</w:t>
      </w:r>
      <w:r w:rsidRPr="00A11265">
        <w:rPr>
          <w:rFonts w:cs="Arial"/>
        </w:rPr>
        <w:t xml:space="preserve"> in accordance with the S</w:t>
      </w:r>
      <w:r w:rsidR="002320BC">
        <w:rPr>
          <w:rFonts w:cs="Arial"/>
        </w:rPr>
        <w:t>ystem Control Technical Code (S</w:t>
      </w:r>
      <w:r w:rsidRPr="00A11265">
        <w:rPr>
          <w:rFonts w:cs="Arial"/>
        </w:rPr>
        <w:t>CTC</w:t>
      </w:r>
      <w:r w:rsidR="002320BC">
        <w:rPr>
          <w:rFonts w:cs="Arial"/>
        </w:rPr>
        <w:t>)</w:t>
      </w:r>
      <w:r w:rsidRPr="00A11265">
        <w:rPr>
          <w:rFonts w:cs="Arial"/>
        </w:rPr>
        <w:t xml:space="preserve"> and </w:t>
      </w:r>
      <w:r w:rsidR="002320BC">
        <w:rPr>
          <w:rFonts w:cs="Arial"/>
        </w:rPr>
        <w:t>Network Technical Code and Planning Criteria (</w:t>
      </w:r>
      <w:r w:rsidR="00F45B94" w:rsidRPr="00A11265">
        <w:rPr>
          <w:rFonts w:cs="Arial"/>
        </w:rPr>
        <w:t>NTC</w:t>
      </w:r>
      <w:r w:rsidR="002320BC">
        <w:rPr>
          <w:rFonts w:cs="Arial"/>
        </w:rPr>
        <w:t>)</w:t>
      </w:r>
      <w:r w:rsidRPr="00A11265">
        <w:rPr>
          <w:rFonts w:cs="Arial"/>
        </w:rPr>
        <w:t xml:space="preserve"> approved by the Utilities Commission.</w:t>
      </w:r>
    </w:p>
    <w:p w14:paraId="6D04DF11" w14:textId="77777777" w:rsidR="00CB560D" w:rsidRPr="00A11265" w:rsidRDefault="00CB560D" w:rsidP="001F613E">
      <w:pPr>
        <w:pStyle w:val="ListParagraph"/>
        <w:numPr>
          <w:ilvl w:val="0"/>
          <w:numId w:val="11"/>
        </w:numPr>
        <w:spacing w:before="200"/>
        <w:ind w:left="426"/>
        <w:rPr>
          <w:rFonts w:cs="Arial"/>
          <w:i/>
        </w:rPr>
      </w:pPr>
      <w:r w:rsidRPr="00A11265">
        <w:rPr>
          <w:rFonts w:cs="Arial"/>
          <w:i/>
        </w:rPr>
        <w:t>Northern Territory National Electricity Rules</w:t>
      </w:r>
    </w:p>
    <w:p w14:paraId="6EEE75C0" w14:textId="1ED83C06" w:rsidR="00CB560D" w:rsidRPr="00A11265" w:rsidRDefault="00CB560D" w:rsidP="009F1A6F">
      <w:pPr>
        <w:pStyle w:val="ListParagraph"/>
        <w:spacing w:before="200"/>
        <w:ind w:left="426"/>
        <w:rPr>
          <w:rFonts w:cs="Arial"/>
        </w:rPr>
      </w:pPr>
      <w:r w:rsidRPr="00A11265">
        <w:rPr>
          <w:rFonts w:cs="Arial"/>
        </w:rPr>
        <w:t xml:space="preserve">The </w:t>
      </w:r>
      <w:r w:rsidRPr="00A11265">
        <w:rPr>
          <w:rFonts w:cs="Arial"/>
          <w:i/>
        </w:rPr>
        <w:t>National Electricity (Northern Territory) (National Uniform Legislation) Act 2015</w:t>
      </w:r>
      <w:r w:rsidR="00ED3F4A" w:rsidRPr="00A11265">
        <w:rPr>
          <w:rFonts w:cs="Arial"/>
          <w:i/>
        </w:rPr>
        <w:t xml:space="preserve"> </w:t>
      </w:r>
      <w:r w:rsidR="00ED3F4A" w:rsidRPr="00A11265">
        <w:rPr>
          <w:rFonts w:cs="Arial"/>
        </w:rPr>
        <w:t>(NT)</w:t>
      </w:r>
      <w:r w:rsidRPr="00A11265">
        <w:rPr>
          <w:rFonts w:cs="Arial"/>
        </w:rPr>
        <w:t xml:space="preserve"> provides for the adoption of the National Electricity Law and the National Electricity Rules (NER) in the </w:t>
      </w:r>
      <w:r w:rsidR="00F17647">
        <w:rPr>
          <w:rFonts w:cs="Arial"/>
        </w:rPr>
        <w:t>NT</w:t>
      </w:r>
      <w:r w:rsidRPr="00A11265">
        <w:rPr>
          <w:rFonts w:cs="Arial"/>
        </w:rPr>
        <w:t xml:space="preserve"> from 1 July 2016.</w:t>
      </w:r>
    </w:p>
    <w:p w14:paraId="4D283A37" w14:textId="688364C1" w:rsidR="00CB560D" w:rsidRPr="00A11265" w:rsidRDefault="00CB560D" w:rsidP="009F1A6F">
      <w:pPr>
        <w:pStyle w:val="ListParagraph"/>
        <w:spacing w:before="200"/>
        <w:ind w:left="426"/>
        <w:rPr>
          <w:rFonts w:cs="Arial"/>
        </w:rPr>
      </w:pPr>
      <w:r w:rsidRPr="00A11265">
        <w:rPr>
          <w:rFonts w:cs="Arial"/>
        </w:rPr>
        <w:t xml:space="preserve">The Northern Territory NER, a version of the NER modified by regulations to suit the </w:t>
      </w:r>
      <w:r w:rsidR="00385E06" w:rsidRPr="00A11265">
        <w:rPr>
          <w:rFonts w:cs="Arial"/>
        </w:rPr>
        <w:t>NT</w:t>
      </w:r>
      <w:r w:rsidRPr="00A11265">
        <w:rPr>
          <w:rFonts w:cs="Arial"/>
        </w:rPr>
        <w:t xml:space="preserve">'s circumstances, govern the arrangements for metering, economic regulation and network connection in the regulated </w:t>
      </w:r>
      <w:r w:rsidR="00DA2687">
        <w:rPr>
          <w:rFonts w:cs="Arial"/>
        </w:rPr>
        <w:t>power</w:t>
      </w:r>
      <w:r w:rsidRPr="00A11265">
        <w:rPr>
          <w:rFonts w:cs="Arial"/>
        </w:rPr>
        <w:t xml:space="preserve"> systems.</w:t>
      </w:r>
    </w:p>
    <w:p w14:paraId="1B4E2660" w14:textId="1EF8149D" w:rsidR="00CB560D" w:rsidRPr="00A11265" w:rsidRDefault="00CB560D" w:rsidP="009F1A6F">
      <w:pPr>
        <w:pStyle w:val="ListParagraph"/>
        <w:spacing w:before="200"/>
        <w:ind w:left="426"/>
        <w:rPr>
          <w:rFonts w:cs="Arial"/>
        </w:rPr>
      </w:pPr>
      <w:r w:rsidRPr="00A11265">
        <w:rPr>
          <w:rFonts w:cs="Arial"/>
        </w:rPr>
        <w:t xml:space="preserve">The </w:t>
      </w:r>
      <w:r w:rsidR="00385E06" w:rsidRPr="00A11265">
        <w:rPr>
          <w:rFonts w:cs="Arial"/>
        </w:rPr>
        <w:t>NT</w:t>
      </w:r>
      <w:r w:rsidRPr="00A11265">
        <w:rPr>
          <w:rFonts w:cs="Arial"/>
        </w:rPr>
        <w:t xml:space="preserve"> has not applied a number of components of the NER, including those governing the operation of wholesale markets and power system security, which continue to be governed by the SCTC and NTC.</w:t>
      </w:r>
    </w:p>
    <w:p w14:paraId="19521488" w14:textId="5C176F17" w:rsidR="00BC33C7" w:rsidRPr="00A11265" w:rsidRDefault="00CB560D" w:rsidP="00CB560D">
      <w:pPr>
        <w:rPr>
          <w:rFonts w:asciiTheme="minorHAnsi" w:hAnsiTheme="minorHAnsi" w:cs="Arial"/>
        </w:rPr>
      </w:pPr>
      <w:r w:rsidRPr="00A11265">
        <w:rPr>
          <w:rFonts w:asciiTheme="minorHAnsi" w:hAnsiTheme="minorHAnsi" w:cs="Arial"/>
        </w:rPr>
        <w:t>It may be feasible to implement a revised</w:t>
      </w:r>
      <w:r w:rsidR="00DB3058" w:rsidRPr="00A11265">
        <w:rPr>
          <w:rFonts w:asciiTheme="minorHAnsi" w:hAnsiTheme="minorHAnsi" w:cs="Arial"/>
        </w:rPr>
        <w:t xml:space="preserve"> or new</w:t>
      </w:r>
      <w:r w:rsidR="002E0A98" w:rsidRPr="00A11265">
        <w:rPr>
          <w:rFonts w:asciiTheme="minorHAnsi" w:hAnsiTheme="minorHAnsi" w:cs="Arial"/>
        </w:rPr>
        <w:t xml:space="preserve"> essential system services</w:t>
      </w:r>
      <w:r w:rsidRPr="00A11265">
        <w:rPr>
          <w:rFonts w:asciiTheme="minorHAnsi" w:hAnsiTheme="minorHAnsi" w:cs="Arial"/>
        </w:rPr>
        <w:t xml:space="preserve"> framework either through amendment to the technical codes under the </w:t>
      </w:r>
      <w:r w:rsidRPr="00A11265">
        <w:rPr>
          <w:rFonts w:asciiTheme="minorHAnsi" w:hAnsiTheme="minorHAnsi" w:cs="Arial"/>
          <w:i/>
        </w:rPr>
        <w:t xml:space="preserve">Electricity Reform Act </w:t>
      </w:r>
      <w:r w:rsidRPr="00A11265">
        <w:rPr>
          <w:rFonts w:asciiTheme="minorHAnsi" w:hAnsiTheme="minorHAnsi" w:cs="Arial"/>
        </w:rPr>
        <w:t>(SCTC, NTC) or through a</w:t>
      </w:r>
      <w:r w:rsidR="00F17647">
        <w:rPr>
          <w:rFonts w:asciiTheme="minorHAnsi" w:hAnsiTheme="minorHAnsi" w:cs="Arial"/>
        </w:rPr>
        <w:t>n</w:t>
      </w:r>
      <w:r w:rsidRPr="00A11265">
        <w:rPr>
          <w:rFonts w:asciiTheme="minorHAnsi" w:hAnsiTheme="minorHAnsi" w:cs="Arial"/>
        </w:rPr>
        <w:t xml:space="preserve"> </w:t>
      </w:r>
      <w:r w:rsidR="00F17647">
        <w:rPr>
          <w:rFonts w:asciiTheme="minorHAnsi" w:hAnsiTheme="minorHAnsi" w:cs="Arial"/>
        </w:rPr>
        <w:t>NT</w:t>
      </w:r>
      <w:r w:rsidRPr="00A11265">
        <w:rPr>
          <w:rFonts w:asciiTheme="minorHAnsi" w:hAnsiTheme="minorHAnsi" w:cs="Arial"/>
        </w:rPr>
        <w:t xml:space="preserve"> specific chapter of the N</w:t>
      </w:r>
      <w:r w:rsidR="00F45B94" w:rsidRPr="00A11265">
        <w:rPr>
          <w:rFonts w:asciiTheme="minorHAnsi" w:hAnsiTheme="minorHAnsi" w:cs="Arial"/>
        </w:rPr>
        <w:t>orthern Territory</w:t>
      </w:r>
      <w:r w:rsidRPr="00A11265">
        <w:rPr>
          <w:rFonts w:asciiTheme="minorHAnsi" w:hAnsiTheme="minorHAnsi" w:cs="Arial"/>
        </w:rPr>
        <w:t xml:space="preserve"> NER.</w:t>
      </w:r>
    </w:p>
    <w:p w14:paraId="0C836FB0" w14:textId="478EFBAB" w:rsidR="00BC33C7" w:rsidRPr="00A11265" w:rsidRDefault="00BC33C7" w:rsidP="00D9724C">
      <w:pPr>
        <w:pStyle w:val="Heading2"/>
        <w:keepNext/>
        <w:rPr>
          <w:lang w:eastAsia="en-AU"/>
        </w:rPr>
      </w:pPr>
      <w:bookmarkStart w:id="206" w:name="_Toc61956215"/>
      <w:r w:rsidRPr="00A11265">
        <w:rPr>
          <w:lang w:eastAsia="en-AU"/>
        </w:rPr>
        <w:t>Submissions</w:t>
      </w:r>
      <w:bookmarkEnd w:id="206"/>
    </w:p>
    <w:p w14:paraId="0DCC0579" w14:textId="2E3B9A89" w:rsidR="009E1B35" w:rsidRPr="00A11265" w:rsidRDefault="009E1B35" w:rsidP="009E1B35">
      <w:pPr>
        <w:rPr>
          <w:lang w:eastAsia="en-AU"/>
        </w:rPr>
      </w:pPr>
      <w:r w:rsidRPr="00A11265">
        <w:rPr>
          <w:lang w:eastAsia="en-AU"/>
        </w:rPr>
        <w:t xml:space="preserve">The Issues Paper sought stakeholder </w:t>
      </w:r>
      <w:r w:rsidR="002E0A98" w:rsidRPr="00A11265">
        <w:rPr>
          <w:lang w:eastAsia="en-AU"/>
        </w:rPr>
        <w:t xml:space="preserve">views on </w:t>
      </w:r>
      <w:r w:rsidRPr="00A11265">
        <w:rPr>
          <w:lang w:eastAsia="en-AU"/>
        </w:rPr>
        <w:t xml:space="preserve">issues to be considered in determining which legislative and regulatory framework would best accommodate changes to the </w:t>
      </w:r>
      <w:r w:rsidR="00385E06" w:rsidRPr="00A11265">
        <w:rPr>
          <w:lang w:eastAsia="en-AU"/>
        </w:rPr>
        <w:t>NT</w:t>
      </w:r>
      <w:r w:rsidRPr="00A11265">
        <w:rPr>
          <w:lang w:eastAsia="en-AU"/>
        </w:rPr>
        <w:t>’</w:t>
      </w:r>
      <w:r w:rsidR="002E0A98" w:rsidRPr="00A11265">
        <w:rPr>
          <w:lang w:eastAsia="en-AU"/>
        </w:rPr>
        <w:t>s essential system services</w:t>
      </w:r>
      <w:r w:rsidRPr="00A11265">
        <w:rPr>
          <w:lang w:eastAsia="en-AU"/>
        </w:rPr>
        <w:t xml:space="preserve"> framework</w:t>
      </w:r>
      <w:r w:rsidR="004F7846" w:rsidRPr="00A11265">
        <w:rPr>
          <w:lang w:eastAsia="en-AU"/>
        </w:rPr>
        <w:t>; and what improvements can be m</w:t>
      </w:r>
      <w:r w:rsidR="002E0A98" w:rsidRPr="00A11265">
        <w:rPr>
          <w:lang w:eastAsia="en-AU"/>
        </w:rPr>
        <w:t xml:space="preserve">ade to the governance of the </w:t>
      </w:r>
      <w:r w:rsidR="004F7846" w:rsidRPr="00A11265">
        <w:rPr>
          <w:lang w:eastAsia="en-AU"/>
        </w:rPr>
        <w:t>framework</w:t>
      </w:r>
    </w:p>
    <w:p w14:paraId="7DFAC038" w14:textId="1395C5A3" w:rsidR="009E1AE7" w:rsidRPr="00A11265" w:rsidRDefault="009E1AE7" w:rsidP="00A23B49">
      <w:pPr>
        <w:pStyle w:val="Heading3"/>
        <w:keepNext/>
        <w:rPr>
          <w:szCs w:val="24"/>
          <w:lang w:eastAsia="en-AU"/>
        </w:rPr>
      </w:pPr>
      <w:r w:rsidRPr="00A11265">
        <w:rPr>
          <w:szCs w:val="24"/>
          <w:lang w:eastAsia="en-AU"/>
        </w:rPr>
        <w:t>Appropriate legislative and regulatory framework</w:t>
      </w:r>
    </w:p>
    <w:p w14:paraId="24475A04" w14:textId="73E827A3" w:rsidR="004F7846" w:rsidRPr="00A11265" w:rsidRDefault="004F7846" w:rsidP="004F7846">
      <w:pPr>
        <w:rPr>
          <w:lang w:eastAsia="en-AU"/>
        </w:rPr>
      </w:pPr>
      <w:r w:rsidRPr="00A11265">
        <w:rPr>
          <w:lang w:eastAsia="en-AU"/>
        </w:rPr>
        <w:t>Territory Generation</w:t>
      </w:r>
      <w:r w:rsidR="00C81104" w:rsidRPr="00A11265">
        <w:rPr>
          <w:lang w:eastAsia="en-AU"/>
        </w:rPr>
        <w:t xml:space="preserve"> (T-Gen)</w:t>
      </w:r>
      <w:r w:rsidR="0059694D" w:rsidRPr="00A11265">
        <w:rPr>
          <w:lang w:eastAsia="en-AU"/>
        </w:rPr>
        <w:t xml:space="preserve"> was the only stakeholder</w:t>
      </w:r>
      <w:r w:rsidRPr="00A11265">
        <w:rPr>
          <w:lang w:eastAsia="en-AU"/>
        </w:rPr>
        <w:t xml:space="preserve"> to comment on</w:t>
      </w:r>
      <w:r w:rsidR="00C81104" w:rsidRPr="00A11265">
        <w:rPr>
          <w:lang w:eastAsia="en-AU"/>
        </w:rPr>
        <w:t xml:space="preserve"> issues relevant to consideration of the</w:t>
      </w:r>
      <w:r w:rsidRPr="00A11265">
        <w:rPr>
          <w:lang w:eastAsia="en-AU"/>
        </w:rPr>
        <w:t xml:space="preserve"> legislative and regulatory framework, identifying</w:t>
      </w:r>
      <w:r w:rsidR="00C81104" w:rsidRPr="00A11265">
        <w:rPr>
          <w:lang w:eastAsia="en-AU"/>
        </w:rPr>
        <w:t xml:space="preserve"> the</w:t>
      </w:r>
      <w:r w:rsidRPr="00A11265">
        <w:rPr>
          <w:lang w:eastAsia="en-AU"/>
        </w:rPr>
        <w:t xml:space="preserve"> </w:t>
      </w:r>
      <w:r w:rsidR="00C81104" w:rsidRPr="00A11265">
        <w:rPr>
          <w:lang w:eastAsia="en-AU"/>
        </w:rPr>
        <w:t>‘</w:t>
      </w:r>
      <w:r w:rsidR="00C81104" w:rsidRPr="00A11265">
        <w:rPr>
          <w:i/>
          <w:lang w:eastAsia="en-AU"/>
        </w:rPr>
        <w:t>partially implemented regulatory regime</w:t>
      </w:r>
      <w:r w:rsidR="00C81104" w:rsidRPr="00A11265">
        <w:rPr>
          <w:lang w:eastAsia="en-AU"/>
        </w:rPr>
        <w:t>’</w:t>
      </w:r>
      <w:r w:rsidR="001847A1">
        <w:rPr>
          <w:rStyle w:val="FootnoteReference"/>
          <w:lang w:eastAsia="en-AU"/>
        </w:rPr>
        <w:footnoteReference w:id="51"/>
      </w:r>
      <w:r w:rsidR="00C81104" w:rsidRPr="00A11265">
        <w:rPr>
          <w:lang w:eastAsia="en-AU"/>
        </w:rPr>
        <w:t xml:space="preserve"> as a relevant consideration</w:t>
      </w:r>
      <w:r w:rsidR="00385E06" w:rsidRPr="00A11265">
        <w:rPr>
          <w:lang w:eastAsia="en-AU"/>
        </w:rPr>
        <w:t xml:space="preserve"> in addition to</w:t>
      </w:r>
      <w:r w:rsidR="00C81104" w:rsidRPr="00A11265">
        <w:rPr>
          <w:lang w:eastAsia="en-AU"/>
        </w:rPr>
        <w:t xml:space="preserve"> a number of operational considerations and pressures for its business.</w:t>
      </w:r>
    </w:p>
    <w:p w14:paraId="4FAD7AC7" w14:textId="2AFE665C" w:rsidR="009E1AE7" w:rsidRPr="00A11265" w:rsidRDefault="009E1AE7" w:rsidP="00F51F16">
      <w:pPr>
        <w:pStyle w:val="Heading3"/>
        <w:keepNext/>
        <w:rPr>
          <w:szCs w:val="24"/>
          <w:lang w:eastAsia="en-AU"/>
        </w:rPr>
      </w:pPr>
      <w:r w:rsidRPr="00A11265">
        <w:rPr>
          <w:szCs w:val="24"/>
          <w:lang w:eastAsia="en-AU"/>
        </w:rPr>
        <w:lastRenderedPageBreak/>
        <w:t>Improvements to governance</w:t>
      </w:r>
    </w:p>
    <w:p w14:paraId="13833588" w14:textId="57A7F0A6" w:rsidR="002115B2" w:rsidRPr="00A11265" w:rsidRDefault="004372DE" w:rsidP="00F51F16">
      <w:pPr>
        <w:keepNext/>
        <w:rPr>
          <w:rFonts w:asciiTheme="minorHAnsi" w:hAnsiTheme="minorHAnsi" w:cs="Arial"/>
        </w:rPr>
      </w:pPr>
      <w:r w:rsidRPr="00A11265">
        <w:rPr>
          <w:rFonts w:asciiTheme="minorHAnsi" w:hAnsiTheme="minorHAnsi" w:cs="Arial"/>
        </w:rPr>
        <w:t>In relation to improvements to governance of essential system service</w:t>
      </w:r>
      <w:r w:rsidR="00385E06" w:rsidRPr="00A11265">
        <w:rPr>
          <w:rFonts w:asciiTheme="minorHAnsi" w:hAnsiTheme="minorHAnsi" w:cs="Arial"/>
        </w:rPr>
        <w:t>s</w:t>
      </w:r>
      <w:r w:rsidRPr="00A11265">
        <w:rPr>
          <w:rFonts w:asciiTheme="minorHAnsi" w:hAnsiTheme="minorHAnsi" w:cs="Arial"/>
        </w:rPr>
        <w:t>, Eni Australia highlighted the P</w:t>
      </w:r>
      <w:r w:rsidR="00385E06" w:rsidRPr="00A11265">
        <w:rPr>
          <w:rFonts w:asciiTheme="minorHAnsi" w:hAnsiTheme="minorHAnsi" w:cs="Arial"/>
        </w:rPr>
        <w:t>WC</w:t>
      </w:r>
      <w:r w:rsidRPr="00A11265">
        <w:rPr>
          <w:rFonts w:asciiTheme="minorHAnsi" w:hAnsiTheme="minorHAnsi" w:cs="Arial"/>
        </w:rPr>
        <w:t>’s different roles as a source of conflict, stating:</w:t>
      </w:r>
    </w:p>
    <w:p w14:paraId="74188804" w14:textId="28C45D7B" w:rsidR="002115B2" w:rsidRPr="00A11265" w:rsidRDefault="002115B2" w:rsidP="009E1B35">
      <w:pPr>
        <w:ind w:left="567" w:right="567"/>
        <w:rPr>
          <w:rFonts w:asciiTheme="minorHAnsi" w:hAnsiTheme="minorHAnsi" w:cs="Arial"/>
          <w:i/>
        </w:rPr>
      </w:pPr>
      <w:r w:rsidRPr="00A11265">
        <w:rPr>
          <w:rFonts w:asciiTheme="minorHAnsi" w:hAnsiTheme="minorHAnsi" w:cs="Arial"/>
          <w:i/>
        </w:rPr>
        <w:t xml:space="preserve">… </w:t>
      </w:r>
      <w:proofErr w:type="gramStart"/>
      <w:r w:rsidRPr="00A11265">
        <w:rPr>
          <w:rFonts w:asciiTheme="minorHAnsi" w:hAnsiTheme="minorHAnsi" w:cs="Arial"/>
          <w:i/>
        </w:rPr>
        <w:t>the</w:t>
      </w:r>
      <w:proofErr w:type="gramEnd"/>
      <w:r w:rsidRPr="00A11265">
        <w:rPr>
          <w:rFonts w:asciiTheme="minorHAnsi" w:hAnsiTheme="minorHAnsi" w:cs="Arial"/>
          <w:i/>
        </w:rPr>
        <w:t xml:space="preserve"> conflicts of interest inherent in PWC’s various roles are both clear and untenable and EAL notes the consultation paper acknowledges that this</w:t>
      </w:r>
      <w:r w:rsidR="004372DE" w:rsidRPr="00A11265">
        <w:rPr>
          <w:rFonts w:asciiTheme="minorHAnsi" w:hAnsiTheme="minorHAnsi" w:cs="Arial"/>
          <w:i/>
        </w:rPr>
        <w:t xml:space="preserve"> may not reflect best practice.</w:t>
      </w:r>
      <w:r w:rsidRPr="00A11265">
        <w:rPr>
          <w:rFonts w:asciiTheme="minorHAnsi" w:hAnsiTheme="minorHAnsi" w:cs="Arial"/>
          <w:i/>
        </w:rPr>
        <w:t xml:space="preserve"> It is clear that ESS governance arrangements need to be changed in order for app</w:t>
      </w:r>
      <w:r w:rsidR="009E1B35" w:rsidRPr="00A11265">
        <w:rPr>
          <w:rFonts w:asciiTheme="minorHAnsi" w:hAnsiTheme="minorHAnsi" w:cs="Arial"/>
          <w:i/>
        </w:rPr>
        <w:t>ropriate decisions to be made.</w:t>
      </w:r>
      <w:r w:rsidR="001847A1">
        <w:rPr>
          <w:rStyle w:val="FootnoteReference"/>
          <w:rFonts w:asciiTheme="minorHAnsi" w:hAnsiTheme="minorHAnsi" w:cs="Arial"/>
          <w:i/>
        </w:rPr>
        <w:footnoteReference w:id="52"/>
      </w:r>
    </w:p>
    <w:p w14:paraId="3B0BC0F9" w14:textId="5F22589A" w:rsidR="002115B2" w:rsidRPr="00A11265" w:rsidRDefault="004372DE" w:rsidP="002115B2">
      <w:pPr>
        <w:rPr>
          <w:rFonts w:asciiTheme="minorHAnsi" w:hAnsiTheme="minorHAnsi" w:cs="Arial"/>
        </w:rPr>
      </w:pPr>
      <w:r w:rsidRPr="00A11265">
        <w:rPr>
          <w:rFonts w:asciiTheme="minorHAnsi" w:hAnsiTheme="minorHAnsi" w:cs="Arial"/>
        </w:rPr>
        <w:t>T-Gen considered all services need to be recognised, specified and compensated; generator of last resort requirements recognised and the legislative framework fully enabled or appropriately modified.</w:t>
      </w:r>
    </w:p>
    <w:p w14:paraId="6E6A1650" w14:textId="4A05AA97" w:rsidR="004372DE" w:rsidRPr="00A11265" w:rsidRDefault="004372DE" w:rsidP="00CB560D">
      <w:pPr>
        <w:rPr>
          <w:rFonts w:asciiTheme="minorHAnsi" w:hAnsiTheme="minorHAnsi" w:cs="Arial"/>
        </w:rPr>
      </w:pPr>
      <w:r w:rsidRPr="00A11265">
        <w:rPr>
          <w:rFonts w:asciiTheme="minorHAnsi" w:hAnsiTheme="minorHAnsi" w:cs="Arial"/>
        </w:rPr>
        <w:t>Jacana reiterated views previously expressed that the governance for the definition and provision of essential system services needs to be independent of the System Controller.</w:t>
      </w:r>
    </w:p>
    <w:p w14:paraId="60CC61F2" w14:textId="05E85A39" w:rsidR="00BC33C7" w:rsidRPr="00A11265" w:rsidRDefault="00BC33C7" w:rsidP="00D9724C">
      <w:pPr>
        <w:pStyle w:val="Heading2"/>
        <w:keepNext/>
        <w:rPr>
          <w:lang w:eastAsia="en-AU"/>
        </w:rPr>
      </w:pPr>
      <w:bookmarkStart w:id="207" w:name="_Toc61852418"/>
      <w:bookmarkStart w:id="208" w:name="_Toc61956216"/>
      <w:bookmarkEnd w:id="207"/>
      <w:r w:rsidRPr="00A11265">
        <w:rPr>
          <w:lang w:eastAsia="en-AU"/>
        </w:rPr>
        <w:t>Analysis</w:t>
      </w:r>
      <w:bookmarkEnd w:id="208"/>
    </w:p>
    <w:p w14:paraId="13FF90C9" w14:textId="54890648" w:rsidR="005F5E43" w:rsidRPr="00A11265" w:rsidRDefault="005F5E43" w:rsidP="00313F6F">
      <w:pPr>
        <w:rPr>
          <w:rFonts w:asciiTheme="minorHAnsi" w:hAnsiTheme="minorHAnsi" w:cs="Arial"/>
        </w:rPr>
      </w:pPr>
      <w:r w:rsidRPr="00A11265">
        <w:rPr>
          <w:rFonts w:asciiTheme="minorHAnsi" w:hAnsiTheme="minorHAnsi" w:cs="Arial"/>
        </w:rPr>
        <w:t xml:space="preserve">Appropriate governance arrangements </w:t>
      </w:r>
      <w:r w:rsidR="005C2B0E" w:rsidRPr="00A11265">
        <w:rPr>
          <w:rFonts w:asciiTheme="minorHAnsi" w:hAnsiTheme="minorHAnsi" w:cs="Arial"/>
        </w:rPr>
        <w:t>for</w:t>
      </w:r>
      <w:r w:rsidRPr="00A11265">
        <w:rPr>
          <w:rFonts w:asciiTheme="minorHAnsi" w:hAnsiTheme="minorHAnsi" w:cs="Arial"/>
        </w:rPr>
        <w:t xml:space="preserve"> the NT’s essential system services framework</w:t>
      </w:r>
      <w:r w:rsidR="005C2B0E" w:rsidRPr="00A11265">
        <w:rPr>
          <w:rFonts w:asciiTheme="minorHAnsi" w:hAnsiTheme="minorHAnsi" w:cs="Arial"/>
        </w:rPr>
        <w:t xml:space="preserve"> will support investor confidence.</w:t>
      </w:r>
    </w:p>
    <w:p w14:paraId="3ED9D791" w14:textId="01408F09" w:rsidR="005F5E43" w:rsidRPr="00A11265" w:rsidRDefault="005F5E43" w:rsidP="00313F6F">
      <w:pPr>
        <w:rPr>
          <w:rFonts w:asciiTheme="minorHAnsi" w:hAnsiTheme="minorHAnsi" w:cs="Arial"/>
        </w:rPr>
      </w:pPr>
      <w:r w:rsidRPr="00A11265">
        <w:rPr>
          <w:rFonts w:asciiTheme="minorHAnsi" w:hAnsiTheme="minorHAnsi" w:cs="Arial"/>
        </w:rPr>
        <w:t>The current arrangements, whereby the System Controller and Network Operator are responsible for making the SCTC and NTC respectively,</w:t>
      </w:r>
      <w:r w:rsidR="000A0886" w:rsidRPr="00A11265">
        <w:rPr>
          <w:rFonts w:asciiTheme="minorHAnsi" w:hAnsiTheme="minorHAnsi" w:cs="Arial"/>
        </w:rPr>
        <w:t xml:space="preserve"> do not reflect best practice, but are improved by the requirement for changes to be </w:t>
      </w:r>
      <w:r w:rsidRPr="00A11265">
        <w:rPr>
          <w:rFonts w:asciiTheme="minorHAnsi" w:hAnsiTheme="minorHAnsi" w:cs="Arial"/>
        </w:rPr>
        <w:t>subject to the approval of the Utilities Commissio</w:t>
      </w:r>
      <w:r w:rsidR="000A0886" w:rsidRPr="00A11265">
        <w:rPr>
          <w:rFonts w:asciiTheme="minorHAnsi" w:hAnsiTheme="minorHAnsi" w:cs="Arial"/>
        </w:rPr>
        <w:t>n.</w:t>
      </w:r>
    </w:p>
    <w:p w14:paraId="2061074B" w14:textId="6DC0B39F" w:rsidR="005F5E43" w:rsidRPr="00A11265" w:rsidRDefault="000A0886" w:rsidP="00313F6F">
      <w:pPr>
        <w:rPr>
          <w:rFonts w:asciiTheme="minorHAnsi" w:hAnsiTheme="minorHAnsi" w:cs="Arial"/>
        </w:rPr>
      </w:pPr>
      <w:r w:rsidRPr="00A11265">
        <w:rPr>
          <w:rFonts w:asciiTheme="minorHAnsi" w:hAnsiTheme="minorHAnsi" w:cs="Arial"/>
        </w:rPr>
        <w:t>The undertaking</w:t>
      </w:r>
      <w:r w:rsidR="005C2B0E" w:rsidRPr="00A11265">
        <w:rPr>
          <w:rFonts w:asciiTheme="minorHAnsi" w:hAnsiTheme="minorHAnsi" w:cs="Arial"/>
        </w:rPr>
        <w:t xml:space="preserve"> </w:t>
      </w:r>
      <w:r w:rsidR="009E1B6C">
        <w:rPr>
          <w:rFonts w:asciiTheme="minorHAnsi" w:hAnsiTheme="minorHAnsi" w:cs="Arial"/>
        </w:rPr>
        <w:t>o</w:t>
      </w:r>
      <w:r w:rsidR="005C2B0E" w:rsidRPr="00A11265">
        <w:rPr>
          <w:rFonts w:asciiTheme="minorHAnsi" w:hAnsiTheme="minorHAnsi" w:cs="Arial"/>
        </w:rPr>
        <w:t>f</w:t>
      </w:r>
      <w:r w:rsidRPr="00A11265">
        <w:rPr>
          <w:rFonts w:asciiTheme="minorHAnsi" w:hAnsiTheme="minorHAnsi" w:cs="Arial"/>
        </w:rPr>
        <w:t xml:space="preserve"> this review by the Design Development Team for consideration by</w:t>
      </w:r>
      <w:r w:rsidR="009E1B6C">
        <w:rPr>
          <w:rFonts w:asciiTheme="minorHAnsi" w:hAnsiTheme="minorHAnsi" w:cs="Arial"/>
        </w:rPr>
        <w:t xml:space="preserve"> the</w:t>
      </w:r>
      <w:r w:rsidRPr="00A11265">
        <w:rPr>
          <w:rFonts w:asciiTheme="minorHAnsi" w:hAnsiTheme="minorHAnsi" w:cs="Arial"/>
        </w:rPr>
        <w:t xml:space="preserve"> Government represents a further improvement to governance arrangements over </w:t>
      </w:r>
      <w:r w:rsidR="00622D5B" w:rsidRPr="00A11265">
        <w:rPr>
          <w:rFonts w:asciiTheme="minorHAnsi" w:hAnsiTheme="minorHAnsi" w:cs="Arial"/>
        </w:rPr>
        <w:t>System Controller and Network Operator</w:t>
      </w:r>
      <w:r w:rsidRPr="00A11265">
        <w:rPr>
          <w:rFonts w:asciiTheme="minorHAnsi" w:hAnsiTheme="minorHAnsi" w:cs="Arial"/>
        </w:rPr>
        <w:t xml:space="preserve"> led code changes.</w:t>
      </w:r>
    </w:p>
    <w:p w14:paraId="79A115BC" w14:textId="69194CED" w:rsidR="00313F6F" w:rsidRPr="00A11265" w:rsidRDefault="00522360" w:rsidP="00313F6F">
      <w:pPr>
        <w:rPr>
          <w:rFonts w:asciiTheme="minorHAnsi" w:hAnsiTheme="minorHAnsi" w:cs="Arial"/>
        </w:rPr>
      </w:pPr>
      <w:r w:rsidRPr="00A11265">
        <w:rPr>
          <w:rFonts w:asciiTheme="minorHAnsi" w:hAnsiTheme="minorHAnsi" w:cs="Arial"/>
        </w:rPr>
        <w:t>A</w:t>
      </w:r>
      <w:r w:rsidR="002D7D68" w:rsidRPr="00A11265">
        <w:rPr>
          <w:rFonts w:asciiTheme="minorHAnsi" w:hAnsiTheme="minorHAnsi" w:cs="Arial"/>
        </w:rPr>
        <w:t>lthough wholesale incorporation of the NT’s</w:t>
      </w:r>
      <w:r w:rsidR="00313F6F" w:rsidRPr="00A11265">
        <w:rPr>
          <w:rFonts w:asciiTheme="minorHAnsi" w:hAnsiTheme="minorHAnsi" w:cs="Arial"/>
        </w:rPr>
        <w:t xml:space="preserve"> network, system control and market oper</w:t>
      </w:r>
      <w:r w:rsidR="00622D5B" w:rsidRPr="00A11265">
        <w:rPr>
          <w:rFonts w:asciiTheme="minorHAnsi" w:hAnsiTheme="minorHAnsi" w:cs="Arial"/>
        </w:rPr>
        <w:t xml:space="preserve">ation technical codes into the </w:t>
      </w:r>
      <w:r w:rsidR="009E1B6C">
        <w:rPr>
          <w:rFonts w:asciiTheme="minorHAnsi" w:hAnsiTheme="minorHAnsi" w:cs="Arial"/>
        </w:rPr>
        <w:t>Northern Territory</w:t>
      </w:r>
      <w:r w:rsidR="00622D5B" w:rsidRPr="00A11265">
        <w:rPr>
          <w:rFonts w:asciiTheme="minorHAnsi" w:hAnsiTheme="minorHAnsi" w:cs="Arial"/>
        </w:rPr>
        <w:t xml:space="preserve"> </w:t>
      </w:r>
      <w:r w:rsidR="00313F6F" w:rsidRPr="00A11265">
        <w:rPr>
          <w:rFonts w:asciiTheme="minorHAnsi" w:hAnsiTheme="minorHAnsi" w:cs="Arial"/>
        </w:rPr>
        <w:t xml:space="preserve">NER and changes to legislative and institutional arrangements to expand the </w:t>
      </w:r>
      <w:r w:rsidR="00622D5B" w:rsidRPr="00A11265">
        <w:rPr>
          <w:rFonts w:asciiTheme="minorHAnsi" w:hAnsiTheme="minorHAnsi" w:cs="Arial"/>
        </w:rPr>
        <w:t>scope of independent rule making</w:t>
      </w:r>
      <w:r w:rsidR="00313F6F" w:rsidRPr="00A11265">
        <w:rPr>
          <w:rFonts w:asciiTheme="minorHAnsi" w:hAnsiTheme="minorHAnsi" w:cs="Arial"/>
        </w:rPr>
        <w:t xml:space="preserve"> could improve the </w:t>
      </w:r>
      <w:r w:rsidR="00F17647">
        <w:rPr>
          <w:rFonts w:asciiTheme="minorHAnsi" w:hAnsiTheme="minorHAnsi" w:cs="Arial"/>
        </w:rPr>
        <w:t>NT</w:t>
      </w:r>
      <w:r w:rsidR="00313F6F" w:rsidRPr="00A11265">
        <w:rPr>
          <w:rFonts w:asciiTheme="minorHAnsi" w:hAnsiTheme="minorHAnsi" w:cs="Arial"/>
        </w:rPr>
        <w:t>’s electricity governance framework</w:t>
      </w:r>
      <w:r w:rsidR="00622D5B" w:rsidRPr="00A11265">
        <w:rPr>
          <w:rFonts w:asciiTheme="minorHAnsi" w:hAnsiTheme="minorHAnsi" w:cs="Arial"/>
        </w:rPr>
        <w:t xml:space="preserve"> further</w:t>
      </w:r>
      <w:r w:rsidR="002D7D68" w:rsidRPr="00A11265">
        <w:rPr>
          <w:rFonts w:asciiTheme="minorHAnsi" w:hAnsiTheme="minorHAnsi" w:cs="Arial"/>
        </w:rPr>
        <w:t>, the s</w:t>
      </w:r>
      <w:r w:rsidRPr="00A11265">
        <w:rPr>
          <w:rFonts w:asciiTheme="minorHAnsi" w:hAnsiTheme="minorHAnsi" w:cs="Arial"/>
        </w:rPr>
        <w:t>cale of</w:t>
      </w:r>
      <w:r w:rsidR="002D7D68" w:rsidRPr="00A11265">
        <w:rPr>
          <w:rFonts w:asciiTheme="minorHAnsi" w:hAnsiTheme="minorHAnsi" w:cs="Arial"/>
        </w:rPr>
        <w:t xml:space="preserve"> changes required </w:t>
      </w:r>
      <w:r w:rsidRPr="00A11265">
        <w:rPr>
          <w:rFonts w:asciiTheme="minorHAnsi" w:hAnsiTheme="minorHAnsi" w:cs="Arial"/>
        </w:rPr>
        <w:t>is</w:t>
      </w:r>
      <w:r w:rsidR="002D7D68" w:rsidRPr="00A11265">
        <w:rPr>
          <w:rFonts w:asciiTheme="minorHAnsi" w:hAnsiTheme="minorHAnsi" w:cs="Arial"/>
        </w:rPr>
        <w:t xml:space="preserve"> beyond </w:t>
      </w:r>
      <w:r w:rsidR="00313F6F" w:rsidRPr="00A11265">
        <w:rPr>
          <w:rFonts w:asciiTheme="minorHAnsi" w:hAnsiTheme="minorHAnsi" w:cs="Arial"/>
        </w:rPr>
        <w:t>the scope of this review.</w:t>
      </w:r>
    </w:p>
    <w:p w14:paraId="66D57986" w14:textId="2A533283" w:rsidR="004372DE" w:rsidRPr="00A11265" w:rsidRDefault="001541E4" w:rsidP="00313F6F">
      <w:pPr>
        <w:rPr>
          <w:rFonts w:asciiTheme="minorHAnsi" w:hAnsiTheme="minorHAnsi" w:cs="Arial"/>
        </w:rPr>
      </w:pPr>
      <w:r w:rsidRPr="00A11265">
        <w:rPr>
          <w:rFonts w:asciiTheme="minorHAnsi" w:hAnsiTheme="minorHAnsi" w:cs="Arial"/>
        </w:rPr>
        <w:t>In weighing the</w:t>
      </w:r>
      <w:r w:rsidR="00522360" w:rsidRPr="00A11265">
        <w:rPr>
          <w:rFonts w:asciiTheme="minorHAnsi" w:hAnsiTheme="minorHAnsi" w:cs="Arial"/>
        </w:rPr>
        <w:t xml:space="preserve"> appropriateness of the</w:t>
      </w:r>
      <w:r w:rsidR="00622D5B" w:rsidRPr="00A11265">
        <w:rPr>
          <w:rFonts w:asciiTheme="minorHAnsi" w:hAnsiTheme="minorHAnsi" w:cs="Arial"/>
        </w:rPr>
        <w:t xml:space="preserve"> current</w:t>
      </w:r>
      <w:r w:rsidRPr="00A11265">
        <w:rPr>
          <w:rFonts w:asciiTheme="minorHAnsi" w:hAnsiTheme="minorHAnsi" w:cs="Arial"/>
        </w:rPr>
        <w:t xml:space="preserve"> legislative and regulatory frameworks to implement the proposed essen</w:t>
      </w:r>
      <w:r w:rsidR="006B296C" w:rsidRPr="00A11265">
        <w:rPr>
          <w:rFonts w:asciiTheme="minorHAnsi" w:hAnsiTheme="minorHAnsi" w:cs="Arial"/>
        </w:rPr>
        <w:t>tial system services reforms, the</w:t>
      </w:r>
      <w:r w:rsidRPr="00A11265">
        <w:rPr>
          <w:rFonts w:asciiTheme="minorHAnsi" w:hAnsiTheme="minorHAnsi" w:cs="Arial"/>
        </w:rPr>
        <w:t xml:space="preserve"> Development Team considered</w:t>
      </w:r>
      <w:r w:rsidR="00522360" w:rsidRPr="00A11265">
        <w:rPr>
          <w:rFonts w:asciiTheme="minorHAnsi" w:hAnsiTheme="minorHAnsi" w:cs="Arial"/>
        </w:rPr>
        <w:t xml:space="preserve"> that</w:t>
      </w:r>
      <w:r w:rsidRPr="00A11265">
        <w:rPr>
          <w:rFonts w:asciiTheme="minorHAnsi" w:hAnsiTheme="minorHAnsi" w:cs="Arial"/>
        </w:rPr>
        <w:t>:</w:t>
      </w:r>
    </w:p>
    <w:p w14:paraId="37D57CB6" w14:textId="0AA90927" w:rsidR="00E910A6" w:rsidRPr="00A11265" w:rsidRDefault="00E910A6" w:rsidP="001F0E53">
      <w:pPr>
        <w:pStyle w:val="ListParagraph"/>
        <w:numPr>
          <w:ilvl w:val="0"/>
          <w:numId w:val="11"/>
        </w:numPr>
        <w:spacing w:after="200"/>
        <w:ind w:left="425" w:hanging="357"/>
        <w:rPr>
          <w:rFonts w:cs="Arial"/>
        </w:rPr>
      </w:pPr>
      <w:r w:rsidRPr="00A11265">
        <w:rPr>
          <w:rFonts w:cs="Arial"/>
        </w:rPr>
        <w:t>amendments to the SCTC and NTC are a given, because of the need to remove redundant provisions</w:t>
      </w:r>
    </w:p>
    <w:p w14:paraId="21205976" w14:textId="6F754B4E" w:rsidR="00E910A6" w:rsidRPr="00A11265" w:rsidRDefault="00E910A6" w:rsidP="001F0E53">
      <w:pPr>
        <w:pStyle w:val="ListParagraph"/>
        <w:numPr>
          <w:ilvl w:val="0"/>
          <w:numId w:val="11"/>
        </w:numPr>
        <w:spacing w:after="200"/>
        <w:ind w:left="425" w:hanging="357"/>
        <w:rPr>
          <w:rFonts w:cs="Arial"/>
        </w:rPr>
      </w:pPr>
      <w:r w:rsidRPr="00A11265">
        <w:rPr>
          <w:rFonts w:cs="Arial"/>
        </w:rPr>
        <w:t>t</w:t>
      </w:r>
      <w:r w:rsidR="001541E4" w:rsidRPr="00A11265">
        <w:rPr>
          <w:rFonts w:cs="Arial"/>
        </w:rPr>
        <w:t>he</w:t>
      </w:r>
      <w:r w:rsidR="006B296C" w:rsidRPr="00A11265">
        <w:rPr>
          <w:rFonts w:cs="Arial"/>
        </w:rPr>
        <w:t>re would be</w:t>
      </w:r>
      <w:r w:rsidR="001541E4" w:rsidRPr="00A11265">
        <w:rPr>
          <w:rFonts w:cs="Arial"/>
        </w:rPr>
        <w:t xml:space="preserve"> be</w:t>
      </w:r>
      <w:r w:rsidR="00D20D5B" w:rsidRPr="00A11265">
        <w:rPr>
          <w:rFonts w:cs="Arial"/>
        </w:rPr>
        <w:t>nefits for system participants</w:t>
      </w:r>
      <w:r w:rsidR="001541E4" w:rsidRPr="00A11265">
        <w:rPr>
          <w:rFonts w:cs="Arial"/>
        </w:rPr>
        <w:t xml:space="preserve"> in ease of reference </w:t>
      </w:r>
      <w:r w:rsidR="00ED4BAC" w:rsidRPr="00A11265">
        <w:rPr>
          <w:rFonts w:cs="Arial"/>
        </w:rPr>
        <w:t>from</w:t>
      </w:r>
      <w:r w:rsidR="001541E4" w:rsidRPr="00A11265">
        <w:rPr>
          <w:rFonts w:cs="Arial"/>
        </w:rPr>
        <w:t xml:space="preserve"> locating </w:t>
      </w:r>
      <w:r w:rsidR="00622D5B" w:rsidRPr="00A11265">
        <w:rPr>
          <w:rFonts w:cs="Arial"/>
        </w:rPr>
        <w:t>related</w:t>
      </w:r>
      <w:r w:rsidR="001541E4" w:rsidRPr="00A11265">
        <w:rPr>
          <w:rFonts w:cs="Arial"/>
        </w:rPr>
        <w:t xml:space="preserve"> </w:t>
      </w:r>
      <w:r w:rsidR="00622D5B" w:rsidRPr="00A11265">
        <w:rPr>
          <w:rFonts w:cs="Arial"/>
        </w:rPr>
        <w:t>obligations in the same instrument</w:t>
      </w:r>
      <w:r w:rsidR="00522360" w:rsidRPr="00A11265">
        <w:rPr>
          <w:rFonts w:cs="Arial"/>
        </w:rPr>
        <w:t>s</w:t>
      </w:r>
    </w:p>
    <w:p w14:paraId="2F5D402D" w14:textId="11D0C39C" w:rsidR="006B296C" w:rsidRPr="00A11265" w:rsidRDefault="001541E4" w:rsidP="001F0E53">
      <w:pPr>
        <w:pStyle w:val="ListParagraph"/>
        <w:numPr>
          <w:ilvl w:val="0"/>
          <w:numId w:val="11"/>
        </w:numPr>
        <w:spacing w:after="200"/>
        <w:ind w:left="425" w:hanging="357"/>
        <w:rPr>
          <w:rFonts w:cs="Arial"/>
        </w:rPr>
      </w:pPr>
      <w:r w:rsidRPr="00A11265">
        <w:rPr>
          <w:rFonts w:cs="Arial"/>
        </w:rPr>
        <w:t>the ease of implementation and maintenance of th</w:t>
      </w:r>
      <w:r w:rsidR="006B296C" w:rsidRPr="00A11265">
        <w:rPr>
          <w:rFonts w:cs="Arial"/>
        </w:rPr>
        <w:t xml:space="preserve">e </w:t>
      </w:r>
      <w:r w:rsidR="00522360" w:rsidRPr="00A11265">
        <w:rPr>
          <w:rFonts w:cs="Arial"/>
        </w:rPr>
        <w:t xml:space="preserve">revised or new arrangements </w:t>
      </w:r>
      <w:r w:rsidR="006B296C" w:rsidRPr="00A11265">
        <w:rPr>
          <w:rFonts w:cs="Arial"/>
        </w:rPr>
        <w:t>under either the Industr</w:t>
      </w:r>
      <w:r w:rsidR="00622D5B" w:rsidRPr="00A11265">
        <w:rPr>
          <w:rFonts w:cs="Arial"/>
        </w:rPr>
        <w:t xml:space="preserve">y Act </w:t>
      </w:r>
      <w:r w:rsidR="00522360" w:rsidRPr="00A11265">
        <w:rPr>
          <w:rFonts w:cs="Arial"/>
        </w:rPr>
        <w:t>or</w:t>
      </w:r>
      <w:r w:rsidR="00622D5B" w:rsidRPr="00A11265">
        <w:rPr>
          <w:rFonts w:cs="Arial"/>
        </w:rPr>
        <w:t xml:space="preserve"> N</w:t>
      </w:r>
      <w:r w:rsidR="009E1B6C">
        <w:rPr>
          <w:rFonts w:cs="Arial"/>
        </w:rPr>
        <w:t>orthern Territory</w:t>
      </w:r>
      <w:r w:rsidR="00622D5B" w:rsidRPr="00A11265">
        <w:rPr>
          <w:rFonts w:cs="Arial"/>
        </w:rPr>
        <w:t xml:space="preserve"> NER framework</w:t>
      </w:r>
      <w:r w:rsidR="00522360" w:rsidRPr="00A11265">
        <w:rPr>
          <w:rFonts w:cs="Arial"/>
        </w:rPr>
        <w:t>s</w:t>
      </w:r>
      <w:r w:rsidR="00622D5B" w:rsidRPr="00A11265">
        <w:rPr>
          <w:rFonts w:cs="Arial"/>
        </w:rPr>
        <w:t xml:space="preserve"> are</w:t>
      </w:r>
      <w:r w:rsidR="006B296C" w:rsidRPr="00A11265">
        <w:rPr>
          <w:rFonts w:cs="Arial"/>
        </w:rPr>
        <w:t xml:space="preserve"> equivalent</w:t>
      </w:r>
    </w:p>
    <w:p w14:paraId="39545A80" w14:textId="17C2DE96" w:rsidR="001541E4" w:rsidRPr="00A11265" w:rsidRDefault="006B296C" w:rsidP="001F0E53">
      <w:pPr>
        <w:pStyle w:val="ListParagraph"/>
        <w:numPr>
          <w:ilvl w:val="1"/>
          <w:numId w:val="11"/>
        </w:numPr>
        <w:spacing w:after="200"/>
        <w:rPr>
          <w:rFonts w:cs="Arial"/>
        </w:rPr>
      </w:pPr>
      <w:r w:rsidRPr="00A11265">
        <w:rPr>
          <w:rFonts w:cs="Arial"/>
        </w:rPr>
        <w:t>implementation under the NTC and SCTC would require the approval of the Utilities Commission</w:t>
      </w:r>
    </w:p>
    <w:p w14:paraId="7E53C974" w14:textId="10ECF21F" w:rsidR="00E910A6" w:rsidRPr="00A11265" w:rsidRDefault="006B296C" w:rsidP="001F0E53">
      <w:pPr>
        <w:pStyle w:val="ListParagraph"/>
        <w:numPr>
          <w:ilvl w:val="1"/>
          <w:numId w:val="11"/>
        </w:numPr>
        <w:spacing w:after="200"/>
        <w:rPr>
          <w:rFonts w:cs="Arial"/>
        </w:rPr>
      </w:pPr>
      <w:r w:rsidRPr="00A11265">
        <w:rPr>
          <w:rFonts w:cs="Arial"/>
        </w:rPr>
        <w:t>implementation in the N</w:t>
      </w:r>
      <w:r w:rsidR="009E1B6C">
        <w:rPr>
          <w:rFonts w:cs="Arial"/>
        </w:rPr>
        <w:t>orthern Territory</w:t>
      </w:r>
      <w:r w:rsidRPr="00A11265">
        <w:rPr>
          <w:rFonts w:cs="Arial"/>
        </w:rPr>
        <w:t xml:space="preserve"> NER would require</w:t>
      </w:r>
      <w:r w:rsidR="00E910A6" w:rsidRPr="00A11265">
        <w:rPr>
          <w:rFonts w:cs="Arial"/>
        </w:rPr>
        <w:t xml:space="preserve"> consultation with other Australian jurisdictions</w:t>
      </w:r>
      <w:r w:rsidR="00622D5B" w:rsidRPr="00A11265">
        <w:rPr>
          <w:rFonts w:cs="Arial"/>
        </w:rPr>
        <w:t>’</w:t>
      </w:r>
      <w:r w:rsidR="00E910A6" w:rsidRPr="00A11265">
        <w:rPr>
          <w:rFonts w:cs="Arial"/>
        </w:rPr>
        <w:t xml:space="preserve"> Energy Ministers as per the </w:t>
      </w:r>
      <w:r w:rsidR="00622D5B" w:rsidRPr="00A11265">
        <w:rPr>
          <w:rFonts w:cs="Arial"/>
        </w:rPr>
        <w:t>requirements of the Australian Energy Market Agreement; and</w:t>
      </w:r>
      <w:r w:rsidRPr="00A11265">
        <w:rPr>
          <w:rFonts w:cs="Arial"/>
        </w:rPr>
        <w:t xml:space="preserve"> consideration</w:t>
      </w:r>
      <w:r w:rsidR="00522360" w:rsidRPr="00A11265">
        <w:rPr>
          <w:rFonts w:cs="Arial"/>
        </w:rPr>
        <w:t xml:space="preserve"> of amendment regulations</w:t>
      </w:r>
      <w:r w:rsidRPr="00A11265">
        <w:rPr>
          <w:rFonts w:cs="Arial"/>
        </w:rPr>
        <w:t xml:space="preserve"> by Cabinet, the Executive Council and</w:t>
      </w:r>
      <w:r w:rsidR="00622D5B" w:rsidRPr="00A11265">
        <w:rPr>
          <w:rFonts w:cs="Arial"/>
        </w:rPr>
        <w:t xml:space="preserve"> the Administrator</w:t>
      </w:r>
    </w:p>
    <w:p w14:paraId="201DE9DA" w14:textId="6D113672" w:rsidR="005A5108" w:rsidRPr="00A11265" w:rsidRDefault="00E910A6" w:rsidP="001F0E53">
      <w:pPr>
        <w:pStyle w:val="ListParagraph"/>
        <w:numPr>
          <w:ilvl w:val="0"/>
          <w:numId w:val="11"/>
        </w:numPr>
        <w:spacing w:after="200"/>
        <w:ind w:left="425" w:hanging="357"/>
        <w:rPr>
          <w:rFonts w:cs="Arial"/>
        </w:rPr>
      </w:pPr>
      <w:proofErr w:type="gramStart"/>
      <w:r w:rsidRPr="00A11265">
        <w:rPr>
          <w:rFonts w:cs="Arial"/>
        </w:rPr>
        <w:lastRenderedPageBreak/>
        <w:t>the</w:t>
      </w:r>
      <w:proofErr w:type="gramEnd"/>
      <w:r w:rsidRPr="00A11265">
        <w:rPr>
          <w:rFonts w:cs="Arial"/>
        </w:rPr>
        <w:t xml:space="preserve"> principal benefit of implementation through the </w:t>
      </w:r>
      <w:r w:rsidR="009E1B6C">
        <w:rPr>
          <w:rFonts w:cs="Arial"/>
        </w:rPr>
        <w:t>Northern Territory</w:t>
      </w:r>
      <w:r w:rsidRPr="00A11265">
        <w:rPr>
          <w:rFonts w:cs="Arial"/>
        </w:rPr>
        <w:t xml:space="preserve"> NER would be where</w:t>
      </w:r>
      <w:r w:rsidR="005A5108" w:rsidRPr="00A11265">
        <w:rPr>
          <w:rFonts w:cs="Arial"/>
        </w:rPr>
        <w:t xml:space="preserve"> the NER contains </w:t>
      </w:r>
      <w:r w:rsidRPr="00A11265">
        <w:rPr>
          <w:rFonts w:cs="Arial"/>
        </w:rPr>
        <w:t xml:space="preserve">provisions equivalent to those required </w:t>
      </w:r>
      <w:r w:rsidR="001F0E53" w:rsidRPr="00A11265">
        <w:rPr>
          <w:rFonts w:cs="Arial"/>
        </w:rPr>
        <w:t xml:space="preserve">that can be easily adapted for application to the NT’s </w:t>
      </w:r>
      <w:r w:rsidR="00622D5B" w:rsidRPr="00A11265">
        <w:rPr>
          <w:rFonts w:cs="Arial"/>
        </w:rPr>
        <w:t>regulated systems.</w:t>
      </w:r>
    </w:p>
    <w:p w14:paraId="2D71FB73" w14:textId="4F7EA54C" w:rsidR="005A5108" w:rsidRPr="00A11265" w:rsidRDefault="001F0E53" w:rsidP="00622D5B">
      <w:pPr>
        <w:keepNext/>
        <w:rPr>
          <w:rFonts w:asciiTheme="minorHAnsi" w:hAnsiTheme="minorHAnsi" w:cs="Arial"/>
        </w:rPr>
      </w:pPr>
      <w:r w:rsidRPr="00A11265">
        <w:rPr>
          <w:rFonts w:asciiTheme="minorHAnsi" w:hAnsiTheme="minorHAnsi" w:cs="Arial"/>
        </w:rPr>
        <w:t xml:space="preserve">On this basis, the Design Development Team </w:t>
      </w:r>
      <w:r w:rsidR="00303106" w:rsidRPr="00A11265">
        <w:rPr>
          <w:rFonts w:asciiTheme="minorHAnsi" w:hAnsiTheme="minorHAnsi" w:cs="Arial"/>
        </w:rPr>
        <w:t>proposes the following</w:t>
      </w:r>
      <w:r w:rsidR="00374086" w:rsidRPr="00A11265">
        <w:rPr>
          <w:rFonts w:asciiTheme="minorHAnsi" w:hAnsiTheme="minorHAnsi" w:cs="Arial"/>
        </w:rPr>
        <w:t xml:space="preserve"> high-level</w:t>
      </w:r>
      <w:r w:rsidR="00303106" w:rsidRPr="00A11265">
        <w:rPr>
          <w:rFonts w:asciiTheme="minorHAnsi" w:hAnsiTheme="minorHAnsi" w:cs="Arial"/>
        </w:rPr>
        <w:t xml:space="preserve"> </w:t>
      </w:r>
      <w:r w:rsidR="00622D5B" w:rsidRPr="00A11265">
        <w:rPr>
          <w:rFonts w:asciiTheme="minorHAnsi" w:hAnsiTheme="minorHAnsi" w:cs="Arial"/>
        </w:rPr>
        <w:t xml:space="preserve">legislative and regulatory </w:t>
      </w:r>
      <w:r w:rsidR="00303106" w:rsidRPr="00A11265">
        <w:rPr>
          <w:rFonts w:asciiTheme="minorHAnsi" w:hAnsiTheme="minorHAnsi" w:cs="Arial"/>
        </w:rPr>
        <w:t>implementation strategy.</w:t>
      </w:r>
    </w:p>
    <w:p w14:paraId="12E3FE3F" w14:textId="4862B38B" w:rsidR="00303106" w:rsidRPr="00A23B49" w:rsidRDefault="00303106" w:rsidP="00A23B49">
      <w:pPr>
        <w:pStyle w:val="ListParagraph"/>
        <w:numPr>
          <w:ilvl w:val="0"/>
          <w:numId w:val="11"/>
        </w:numPr>
        <w:spacing w:after="200"/>
        <w:ind w:left="425" w:hanging="357"/>
        <w:rPr>
          <w:rFonts w:cs="Arial"/>
        </w:rPr>
      </w:pPr>
      <w:r w:rsidRPr="00A23B49">
        <w:rPr>
          <w:rFonts w:cs="Arial"/>
        </w:rPr>
        <w:t>Arrangements that are bespoke to the NT</w:t>
      </w:r>
      <w:r w:rsidR="00522360" w:rsidRPr="00A23B49">
        <w:rPr>
          <w:rFonts w:cs="Arial"/>
        </w:rPr>
        <w:t xml:space="preserve"> to</w:t>
      </w:r>
      <w:r w:rsidRPr="00A23B49">
        <w:rPr>
          <w:rFonts w:cs="Arial"/>
        </w:rPr>
        <w:t xml:space="preserve"> be implemented through amendme</w:t>
      </w:r>
      <w:r w:rsidR="00374086" w:rsidRPr="00A23B49">
        <w:rPr>
          <w:rFonts w:cs="Arial"/>
        </w:rPr>
        <w:t>nts to the SCTC and NTC. This</w:t>
      </w:r>
      <w:r w:rsidR="00230CB3">
        <w:rPr>
          <w:rFonts w:cs="Arial"/>
        </w:rPr>
        <w:t xml:space="preserve"> would</w:t>
      </w:r>
      <w:r w:rsidR="00374086" w:rsidRPr="00A23B49">
        <w:rPr>
          <w:rFonts w:cs="Arial"/>
        </w:rPr>
        <w:t xml:space="preserve"> include:</w:t>
      </w:r>
    </w:p>
    <w:p w14:paraId="3FD4E0B0" w14:textId="635232C6" w:rsidR="00622D5B" w:rsidRPr="00A11265" w:rsidRDefault="00622D5B" w:rsidP="00E02062">
      <w:pPr>
        <w:pStyle w:val="ListParagraph"/>
        <w:numPr>
          <w:ilvl w:val="1"/>
          <w:numId w:val="22"/>
        </w:numPr>
        <w:rPr>
          <w:rFonts w:asciiTheme="minorHAnsi" w:hAnsiTheme="minorHAnsi" w:cs="Arial"/>
        </w:rPr>
      </w:pPr>
      <w:r w:rsidRPr="00A11265">
        <w:rPr>
          <w:rFonts w:asciiTheme="minorHAnsi" w:hAnsiTheme="minorHAnsi" w:cs="Arial"/>
        </w:rPr>
        <w:t>e</w:t>
      </w:r>
      <w:r w:rsidR="00303106" w:rsidRPr="00A11265">
        <w:rPr>
          <w:rFonts w:asciiTheme="minorHAnsi" w:hAnsiTheme="minorHAnsi" w:cs="Arial"/>
        </w:rPr>
        <w:t>ss</w:t>
      </w:r>
      <w:r w:rsidRPr="00A11265">
        <w:rPr>
          <w:rFonts w:asciiTheme="minorHAnsi" w:hAnsiTheme="minorHAnsi" w:cs="Arial"/>
        </w:rPr>
        <w:t>ential system service types</w:t>
      </w:r>
    </w:p>
    <w:p w14:paraId="66536846" w14:textId="754D5481" w:rsidR="00303106" w:rsidRPr="00A11265" w:rsidRDefault="00622D5B" w:rsidP="00E02062">
      <w:pPr>
        <w:pStyle w:val="ListParagraph"/>
        <w:numPr>
          <w:ilvl w:val="1"/>
          <w:numId w:val="22"/>
        </w:numPr>
        <w:rPr>
          <w:rFonts w:asciiTheme="minorHAnsi" w:hAnsiTheme="minorHAnsi" w:cs="Arial"/>
        </w:rPr>
      </w:pPr>
      <w:r w:rsidRPr="00A11265">
        <w:rPr>
          <w:rFonts w:asciiTheme="minorHAnsi" w:hAnsiTheme="minorHAnsi" w:cs="Arial"/>
        </w:rPr>
        <w:t xml:space="preserve">process for </w:t>
      </w:r>
      <w:r w:rsidR="00374086" w:rsidRPr="00A11265">
        <w:rPr>
          <w:rFonts w:asciiTheme="minorHAnsi" w:hAnsiTheme="minorHAnsi" w:cs="Arial"/>
        </w:rPr>
        <w:t>detailed definitions, parameters and requirements for essential system service</w:t>
      </w:r>
      <w:r w:rsidRPr="00A11265">
        <w:rPr>
          <w:rFonts w:asciiTheme="minorHAnsi" w:hAnsiTheme="minorHAnsi" w:cs="Arial"/>
        </w:rPr>
        <w:t>s</w:t>
      </w:r>
    </w:p>
    <w:p w14:paraId="2631838B" w14:textId="4B2FFBF9" w:rsidR="00374086" w:rsidRPr="00A11265" w:rsidRDefault="00522360" w:rsidP="00E02062">
      <w:pPr>
        <w:pStyle w:val="ListParagraph"/>
        <w:numPr>
          <w:ilvl w:val="1"/>
          <w:numId w:val="22"/>
        </w:numPr>
        <w:rPr>
          <w:rFonts w:asciiTheme="minorHAnsi" w:hAnsiTheme="minorHAnsi" w:cs="Arial"/>
        </w:rPr>
      </w:pPr>
      <w:proofErr w:type="gramStart"/>
      <w:r w:rsidRPr="00A11265">
        <w:rPr>
          <w:rFonts w:asciiTheme="minorHAnsi" w:hAnsiTheme="minorHAnsi" w:cs="Arial"/>
        </w:rPr>
        <w:t>the</w:t>
      </w:r>
      <w:proofErr w:type="gramEnd"/>
      <w:r w:rsidRPr="00A11265">
        <w:rPr>
          <w:rFonts w:asciiTheme="minorHAnsi" w:hAnsiTheme="minorHAnsi" w:cs="Arial"/>
        </w:rPr>
        <w:t xml:space="preserve"> requirement for an </w:t>
      </w:r>
      <w:r w:rsidR="00374086" w:rsidRPr="00A11265">
        <w:rPr>
          <w:rFonts w:asciiTheme="minorHAnsi" w:hAnsiTheme="minorHAnsi" w:cs="Arial"/>
        </w:rPr>
        <w:t>annual Essential System Services Plan detailing ser</w:t>
      </w:r>
      <w:r w:rsidR="00622D5B" w:rsidRPr="00A11265">
        <w:rPr>
          <w:rFonts w:asciiTheme="minorHAnsi" w:hAnsiTheme="minorHAnsi" w:cs="Arial"/>
        </w:rPr>
        <w:t>vice standards, service requirements, administered prices</w:t>
      </w:r>
      <w:r w:rsidRPr="00A11265">
        <w:rPr>
          <w:rFonts w:asciiTheme="minorHAnsi" w:hAnsiTheme="minorHAnsi" w:cs="Arial"/>
        </w:rPr>
        <w:t xml:space="preserve"> and</w:t>
      </w:r>
      <w:r w:rsidR="00622D5B" w:rsidRPr="00A11265">
        <w:rPr>
          <w:rFonts w:asciiTheme="minorHAnsi" w:hAnsiTheme="minorHAnsi" w:cs="Arial"/>
        </w:rPr>
        <w:t xml:space="preserve"> market offer price caps.</w:t>
      </w:r>
    </w:p>
    <w:p w14:paraId="2B4CEB89" w14:textId="34908FC8" w:rsidR="003D3B35" w:rsidRPr="00A23B49" w:rsidRDefault="003D3B35" w:rsidP="00A23B49">
      <w:pPr>
        <w:pStyle w:val="ListParagraph"/>
        <w:numPr>
          <w:ilvl w:val="0"/>
          <w:numId w:val="11"/>
        </w:numPr>
        <w:spacing w:after="200"/>
        <w:ind w:left="425" w:hanging="357"/>
        <w:rPr>
          <w:rFonts w:cs="Arial"/>
        </w:rPr>
      </w:pPr>
      <w:r w:rsidRPr="00A23B49">
        <w:rPr>
          <w:rFonts w:cs="Arial"/>
        </w:rPr>
        <w:t>Arrangements for which there are equivalent NER provisions</w:t>
      </w:r>
      <w:r w:rsidR="003C6A58" w:rsidRPr="00A23B49">
        <w:rPr>
          <w:rFonts w:cs="Arial"/>
        </w:rPr>
        <w:t xml:space="preserve"> </w:t>
      </w:r>
      <w:r w:rsidR="00D80FC4" w:rsidRPr="00A23B49">
        <w:rPr>
          <w:rFonts w:cs="Arial"/>
        </w:rPr>
        <w:t xml:space="preserve">be considered for implementation through the </w:t>
      </w:r>
      <w:r w:rsidR="009E1B6C" w:rsidRPr="00A23B49">
        <w:rPr>
          <w:rFonts w:cs="Arial"/>
        </w:rPr>
        <w:t>Northern Territory</w:t>
      </w:r>
      <w:r w:rsidR="00D80FC4" w:rsidRPr="00A23B49">
        <w:rPr>
          <w:rFonts w:cs="Arial"/>
        </w:rPr>
        <w:t xml:space="preserve"> </w:t>
      </w:r>
      <w:r w:rsidR="00374086" w:rsidRPr="00A23B49">
        <w:rPr>
          <w:rFonts w:cs="Arial"/>
        </w:rPr>
        <w:t>NER</w:t>
      </w:r>
      <w:r w:rsidR="00FC3FFF" w:rsidRPr="00A23B49">
        <w:rPr>
          <w:rFonts w:cs="Arial"/>
        </w:rPr>
        <w:t xml:space="preserve">, </w:t>
      </w:r>
      <w:r w:rsidR="003C6A58" w:rsidRPr="00A23B49">
        <w:rPr>
          <w:rFonts w:cs="Arial"/>
        </w:rPr>
        <w:t>SCTC and NTC</w:t>
      </w:r>
      <w:r w:rsidR="00374086" w:rsidRPr="00A23B49">
        <w:rPr>
          <w:rFonts w:cs="Arial"/>
        </w:rPr>
        <w:t xml:space="preserve">. This </w:t>
      </w:r>
      <w:r w:rsidR="00230CB3">
        <w:rPr>
          <w:rFonts w:cs="Arial"/>
        </w:rPr>
        <w:t>would</w:t>
      </w:r>
      <w:r w:rsidR="00374086" w:rsidRPr="00A23B49">
        <w:rPr>
          <w:rFonts w:cs="Arial"/>
        </w:rPr>
        <w:t xml:space="preserve"> include:</w:t>
      </w:r>
    </w:p>
    <w:p w14:paraId="663771EB" w14:textId="28E8B144" w:rsidR="00D80FC4" w:rsidRPr="00A11265" w:rsidRDefault="00D80FC4" w:rsidP="00E02062">
      <w:pPr>
        <w:pStyle w:val="ListParagraph"/>
        <w:numPr>
          <w:ilvl w:val="1"/>
          <w:numId w:val="22"/>
        </w:numPr>
        <w:rPr>
          <w:rFonts w:asciiTheme="minorHAnsi" w:hAnsiTheme="minorHAnsi" w:cs="Arial"/>
        </w:rPr>
      </w:pPr>
      <w:r w:rsidRPr="00A11265">
        <w:rPr>
          <w:rFonts w:asciiTheme="minorHAnsi" w:hAnsiTheme="minorHAnsi" w:cs="Arial"/>
          <w:i/>
        </w:rPr>
        <w:t>Network support / Voltage Management, which are</w:t>
      </w:r>
      <w:r w:rsidR="00A05D06" w:rsidRPr="00A11265">
        <w:rPr>
          <w:rFonts w:asciiTheme="minorHAnsi" w:hAnsiTheme="minorHAnsi" w:cs="Arial"/>
          <w:i/>
        </w:rPr>
        <w:t xml:space="preserve"> eq</w:t>
      </w:r>
      <w:r w:rsidR="003C6A58" w:rsidRPr="00A11265">
        <w:rPr>
          <w:rFonts w:asciiTheme="minorHAnsi" w:hAnsiTheme="minorHAnsi" w:cs="Arial"/>
          <w:i/>
        </w:rPr>
        <w:t>uivalent to arrangements in the NER for network support and control ancillary service</w:t>
      </w:r>
      <w:r w:rsidR="00EA7B5F" w:rsidRPr="00A11265">
        <w:rPr>
          <w:rFonts w:asciiTheme="minorHAnsi" w:hAnsiTheme="minorHAnsi" w:cs="Arial"/>
          <w:i/>
        </w:rPr>
        <w:t>s</w:t>
      </w:r>
      <w:r w:rsidR="001E554A" w:rsidRPr="00A11265">
        <w:rPr>
          <w:rFonts w:asciiTheme="minorHAnsi" w:hAnsiTheme="minorHAnsi" w:cs="Arial"/>
        </w:rPr>
        <w:t xml:space="preserve"> </w:t>
      </w:r>
      <w:r w:rsidR="002D1D27" w:rsidRPr="00A11265">
        <w:rPr>
          <w:rFonts w:asciiTheme="minorHAnsi" w:hAnsiTheme="minorHAnsi" w:cs="Arial"/>
        </w:rPr>
        <w:t>—</w:t>
      </w:r>
      <w:r w:rsidR="001E554A" w:rsidRPr="00A11265">
        <w:rPr>
          <w:rFonts w:asciiTheme="minorHAnsi" w:hAnsiTheme="minorHAnsi" w:cs="Arial"/>
        </w:rPr>
        <w:t xml:space="preserve"> </w:t>
      </w:r>
      <w:r w:rsidR="00FC3FFF" w:rsidRPr="00A11265">
        <w:rPr>
          <w:rFonts w:asciiTheme="minorHAnsi" w:hAnsiTheme="minorHAnsi" w:cs="Arial"/>
        </w:rPr>
        <w:t>A framework for</w:t>
      </w:r>
      <w:r w:rsidR="003C6A58" w:rsidRPr="00A11265">
        <w:rPr>
          <w:rFonts w:asciiTheme="minorHAnsi" w:hAnsiTheme="minorHAnsi" w:cs="Arial"/>
        </w:rPr>
        <w:t xml:space="preserve"> </w:t>
      </w:r>
      <w:r w:rsidR="00EA7B5F" w:rsidRPr="00A11265">
        <w:rPr>
          <w:rFonts w:asciiTheme="minorHAnsi" w:hAnsiTheme="minorHAnsi" w:cs="Arial"/>
        </w:rPr>
        <w:t xml:space="preserve">the determination of need for network support, compensation for providers and recovery of costs, </w:t>
      </w:r>
      <w:r w:rsidR="002D1D27" w:rsidRPr="00A11265">
        <w:rPr>
          <w:rFonts w:asciiTheme="minorHAnsi" w:hAnsiTheme="minorHAnsi" w:cs="Arial"/>
        </w:rPr>
        <w:t>is</w:t>
      </w:r>
      <w:r w:rsidR="00EA7B5F" w:rsidRPr="00A11265">
        <w:rPr>
          <w:rFonts w:asciiTheme="minorHAnsi" w:hAnsiTheme="minorHAnsi" w:cs="Arial"/>
        </w:rPr>
        <w:t xml:space="preserve"> contained in Chapter</w:t>
      </w:r>
      <w:r w:rsidR="002D1D27" w:rsidRPr="00A11265">
        <w:rPr>
          <w:rFonts w:asciiTheme="minorHAnsi" w:hAnsiTheme="minorHAnsi" w:cs="Arial"/>
        </w:rPr>
        <w:t> </w:t>
      </w:r>
      <w:r w:rsidR="00EA7B5F" w:rsidRPr="00A11265">
        <w:rPr>
          <w:rFonts w:asciiTheme="minorHAnsi" w:hAnsiTheme="minorHAnsi" w:cs="Arial"/>
        </w:rPr>
        <w:t>5 Network Connection Access, Planning and Expansion</w:t>
      </w:r>
      <w:r w:rsidR="002D1D27" w:rsidRPr="00A11265">
        <w:rPr>
          <w:rFonts w:asciiTheme="minorHAnsi" w:hAnsiTheme="minorHAnsi" w:cs="Arial"/>
        </w:rPr>
        <w:t>, T</w:t>
      </w:r>
      <w:r w:rsidR="00EA7B5F" w:rsidRPr="00A11265">
        <w:rPr>
          <w:rFonts w:asciiTheme="minorHAnsi" w:hAnsiTheme="minorHAnsi" w:cs="Arial"/>
        </w:rPr>
        <w:t xml:space="preserve">he </w:t>
      </w:r>
      <w:r w:rsidR="002D1D27" w:rsidRPr="00A11265">
        <w:rPr>
          <w:rFonts w:asciiTheme="minorHAnsi" w:hAnsiTheme="minorHAnsi" w:cs="Arial"/>
        </w:rPr>
        <w:t>NT</w:t>
      </w:r>
      <w:r w:rsidR="00EA7B5F" w:rsidRPr="00A11265">
        <w:rPr>
          <w:rFonts w:asciiTheme="minorHAnsi" w:hAnsiTheme="minorHAnsi" w:cs="Arial"/>
        </w:rPr>
        <w:t xml:space="preserve"> has adopted</w:t>
      </w:r>
      <w:r w:rsidR="002D1D27" w:rsidRPr="00A11265">
        <w:rPr>
          <w:rFonts w:asciiTheme="minorHAnsi" w:hAnsiTheme="minorHAnsi" w:cs="Arial"/>
        </w:rPr>
        <w:t xml:space="preserve"> Chapter 5</w:t>
      </w:r>
      <w:r w:rsidR="00EA7B5F" w:rsidRPr="00A11265">
        <w:rPr>
          <w:rFonts w:asciiTheme="minorHAnsi" w:hAnsiTheme="minorHAnsi" w:cs="Arial"/>
        </w:rPr>
        <w:t xml:space="preserve"> but</w:t>
      </w:r>
      <w:r w:rsidR="00B26DFA" w:rsidRPr="00A11265">
        <w:rPr>
          <w:rFonts w:asciiTheme="minorHAnsi" w:hAnsiTheme="minorHAnsi" w:cs="Arial"/>
        </w:rPr>
        <w:t xml:space="preserve"> relevant clauses are currently disabled</w:t>
      </w:r>
      <w:r w:rsidR="002D1D27" w:rsidRPr="00A11265">
        <w:rPr>
          <w:rFonts w:asciiTheme="minorHAnsi" w:hAnsiTheme="minorHAnsi" w:cs="Arial"/>
        </w:rPr>
        <w:t xml:space="preserve"> in the </w:t>
      </w:r>
      <w:r w:rsidR="009E1B6C">
        <w:rPr>
          <w:rFonts w:asciiTheme="minorHAnsi" w:hAnsiTheme="minorHAnsi" w:cs="Arial"/>
        </w:rPr>
        <w:t>Northern Territory</w:t>
      </w:r>
      <w:r w:rsidR="002D1D27" w:rsidRPr="00A11265">
        <w:rPr>
          <w:rFonts w:asciiTheme="minorHAnsi" w:hAnsiTheme="minorHAnsi" w:cs="Arial"/>
        </w:rPr>
        <w:t xml:space="preserve"> NER</w:t>
      </w:r>
      <w:r w:rsidR="00EA7B5F" w:rsidRPr="00A11265">
        <w:rPr>
          <w:rFonts w:asciiTheme="minorHAnsi" w:hAnsiTheme="minorHAnsi" w:cs="Arial"/>
        </w:rPr>
        <w:t>.</w:t>
      </w:r>
    </w:p>
    <w:p w14:paraId="4CE123DA" w14:textId="54E3B21C" w:rsidR="00FC3FFF" w:rsidRPr="00A11265" w:rsidRDefault="00FC3FFF" w:rsidP="00E02062">
      <w:pPr>
        <w:pStyle w:val="ListParagraph"/>
        <w:numPr>
          <w:ilvl w:val="1"/>
          <w:numId w:val="22"/>
        </w:numPr>
        <w:rPr>
          <w:rFonts w:asciiTheme="minorHAnsi" w:hAnsiTheme="minorHAnsi" w:cs="Arial"/>
        </w:rPr>
      </w:pPr>
      <w:r w:rsidRPr="00A11265">
        <w:rPr>
          <w:rFonts w:asciiTheme="minorHAnsi" w:hAnsiTheme="minorHAnsi" w:cs="Arial"/>
          <w:i/>
        </w:rPr>
        <w:t>System Strength</w:t>
      </w:r>
      <w:r w:rsidRPr="00A11265">
        <w:rPr>
          <w:rFonts w:asciiTheme="minorHAnsi" w:hAnsiTheme="minorHAnsi" w:cs="Arial"/>
        </w:rPr>
        <w:t xml:space="preserve"> </w:t>
      </w:r>
      <w:r w:rsidR="002D1D27" w:rsidRPr="00A11265">
        <w:rPr>
          <w:rFonts w:asciiTheme="minorHAnsi" w:hAnsiTheme="minorHAnsi" w:cs="Arial"/>
        </w:rPr>
        <w:t>—</w:t>
      </w:r>
      <w:r w:rsidRPr="00A11265">
        <w:rPr>
          <w:rFonts w:asciiTheme="minorHAnsi" w:hAnsiTheme="minorHAnsi" w:cs="Arial"/>
        </w:rPr>
        <w:t xml:space="preserve"> A framework for the determination of need for system strength remediation, compensation for providers and recovery of costs, are contained in Chapter 5 Network Connection Ac</w:t>
      </w:r>
      <w:r w:rsidR="00B26DFA" w:rsidRPr="00A11265">
        <w:rPr>
          <w:rFonts w:asciiTheme="minorHAnsi" w:hAnsiTheme="minorHAnsi" w:cs="Arial"/>
        </w:rPr>
        <w:t>cess, Planning and Expansion</w:t>
      </w:r>
      <w:r w:rsidR="002D1D27" w:rsidRPr="00A11265">
        <w:rPr>
          <w:rFonts w:asciiTheme="minorHAnsi" w:hAnsiTheme="minorHAnsi" w:cs="Arial"/>
        </w:rPr>
        <w:t xml:space="preserve">. The </w:t>
      </w:r>
      <w:r w:rsidR="00B26DFA" w:rsidRPr="00A11265">
        <w:rPr>
          <w:rFonts w:asciiTheme="minorHAnsi" w:hAnsiTheme="minorHAnsi" w:cs="Arial"/>
        </w:rPr>
        <w:t>relevant provisions are currently disabled</w:t>
      </w:r>
      <w:r w:rsidR="002D1D27" w:rsidRPr="00A11265">
        <w:rPr>
          <w:rFonts w:asciiTheme="minorHAnsi" w:hAnsiTheme="minorHAnsi" w:cs="Arial"/>
        </w:rPr>
        <w:t xml:space="preserve"> in the </w:t>
      </w:r>
      <w:r w:rsidR="009E1B6C" w:rsidRPr="00A11265">
        <w:rPr>
          <w:rFonts w:asciiTheme="minorHAnsi" w:hAnsiTheme="minorHAnsi" w:cs="Arial"/>
        </w:rPr>
        <w:t>N</w:t>
      </w:r>
      <w:r w:rsidR="009E1B6C">
        <w:rPr>
          <w:rFonts w:asciiTheme="minorHAnsi" w:hAnsiTheme="minorHAnsi" w:cs="Arial"/>
        </w:rPr>
        <w:t>orthern Territory</w:t>
      </w:r>
      <w:r w:rsidR="002D1D27" w:rsidRPr="00A11265">
        <w:rPr>
          <w:rFonts w:asciiTheme="minorHAnsi" w:hAnsiTheme="minorHAnsi" w:cs="Arial"/>
        </w:rPr>
        <w:t xml:space="preserve"> NER</w:t>
      </w:r>
      <w:r w:rsidRPr="00A11265">
        <w:rPr>
          <w:rFonts w:asciiTheme="minorHAnsi" w:hAnsiTheme="minorHAnsi" w:cs="Arial"/>
        </w:rPr>
        <w:t>.</w:t>
      </w:r>
    </w:p>
    <w:p w14:paraId="77C7CC94" w14:textId="41A2D65B" w:rsidR="00BC33C7" w:rsidRPr="00A11265" w:rsidRDefault="00BC33C7" w:rsidP="00D9724C">
      <w:pPr>
        <w:pStyle w:val="Heading2"/>
        <w:keepNext/>
        <w:rPr>
          <w:lang w:eastAsia="en-AU"/>
        </w:rPr>
      </w:pPr>
      <w:bookmarkStart w:id="209" w:name="_Toc61852420"/>
      <w:bookmarkStart w:id="210" w:name="_Toc61956217"/>
      <w:bookmarkEnd w:id="209"/>
      <w:r w:rsidRPr="00A11265">
        <w:rPr>
          <w:lang w:eastAsia="en-AU"/>
        </w:rPr>
        <w:t>Draft position</w:t>
      </w:r>
      <w:bookmarkEnd w:id="210"/>
    </w:p>
    <w:p w14:paraId="778CF4D4" w14:textId="77777777" w:rsidR="00A952BE" w:rsidRPr="00A11265" w:rsidRDefault="00A952BE" w:rsidP="00A952BE">
      <w:pPr>
        <w:rPr>
          <w:rFonts w:asciiTheme="minorHAnsi" w:hAnsiTheme="minorHAnsi" w:cs="Arial"/>
        </w:rPr>
      </w:pPr>
      <w:r w:rsidRPr="00A11265">
        <w:rPr>
          <w:rFonts w:asciiTheme="minorHAnsi" w:hAnsiTheme="minorHAnsi" w:cs="Arial"/>
        </w:rPr>
        <w:t>Based on a range of factors including ease of reference for system participants and implementation and maintenance of provisions, the proposed changes to the essential system services arrangements should be implemented through:</w:t>
      </w:r>
    </w:p>
    <w:p w14:paraId="7599519D" w14:textId="682EE501" w:rsidR="00A952BE" w:rsidRPr="00A23B49" w:rsidRDefault="00A952BE" w:rsidP="00A23B49">
      <w:pPr>
        <w:pStyle w:val="ListParagraph"/>
        <w:numPr>
          <w:ilvl w:val="0"/>
          <w:numId w:val="11"/>
        </w:numPr>
        <w:spacing w:after="200"/>
        <w:ind w:left="425" w:hanging="357"/>
        <w:rPr>
          <w:rFonts w:cs="Arial"/>
        </w:rPr>
      </w:pPr>
      <w:r w:rsidRPr="00A23B49">
        <w:rPr>
          <w:rFonts w:cs="Arial"/>
        </w:rPr>
        <w:t>the SCTC and NTC, for elements of the new essential system services framework which are bespoke to the NT</w:t>
      </w:r>
    </w:p>
    <w:p w14:paraId="15DCE3C2" w14:textId="0217777E" w:rsidR="00A952BE" w:rsidRPr="00A23B49" w:rsidRDefault="00A952BE" w:rsidP="00A23B49">
      <w:pPr>
        <w:pStyle w:val="ListParagraph"/>
        <w:numPr>
          <w:ilvl w:val="0"/>
          <w:numId w:val="11"/>
        </w:numPr>
        <w:spacing w:after="200"/>
        <w:ind w:left="425" w:hanging="357"/>
        <w:rPr>
          <w:rFonts w:cs="Arial"/>
        </w:rPr>
      </w:pPr>
      <w:proofErr w:type="gramStart"/>
      <w:r w:rsidRPr="00A23B49">
        <w:rPr>
          <w:rFonts w:cs="Arial"/>
        </w:rPr>
        <w:t>the</w:t>
      </w:r>
      <w:proofErr w:type="gramEnd"/>
      <w:r w:rsidRPr="00A23B49">
        <w:rPr>
          <w:rFonts w:cs="Arial"/>
        </w:rPr>
        <w:t xml:space="preserve"> N</w:t>
      </w:r>
      <w:r w:rsidR="009E1B6C" w:rsidRPr="00A23B49">
        <w:rPr>
          <w:rFonts w:cs="Arial"/>
        </w:rPr>
        <w:t>orthern Territory</w:t>
      </w:r>
      <w:r w:rsidR="002D1D27" w:rsidRPr="00A23B49">
        <w:rPr>
          <w:rFonts w:cs="Arial"/>
        </w:rPr>
        <w:t xml:space="preserve"> NER</w:t>
      </w:r>
      <w:r w:rsidRPr="00A23B49">
        <w:rPr>
          <w:rFonts w:cs="Arial"/>
        </w:rPr>
        <w:t>, SCTC and NTC, for elements of the new essential system services framework for which there are equivalent frameworks in the National Electricity Market.</w:t>
      </w:r>
    </w:p>
    <w:p w14:paraId="309A2688" w14:textId="77777777" w:rsidR="00804CCA" w:rsidRPr="00A11265" w:rsidRDefault="00804CCA" w:rsidP="00CB560D">
      <w:pPr>
        <w:rPr>
          <w:rFonts w:ascii="Arial" w:hAnsi="Arial" w:cs="Arial"/>
        </w:rPr>
      </w:pPr>
    </w:p>
    <w:p w14:paraId="184070EE" w14:textId="77777777" w:rsidR="00C0589C" w:rsidRPr="00A11265" w:rsidRDefault="00C0589C">
      <w:pPr>
        <w:rPr>
          <w:rFonts w:ascii="Arial" w:hAnsi="Arial" w:cs="Arial"/>
        </w:rPr>
      </w:pPr>
      <w:r w:rsidRPr="00A11265">
        <w:rPr>
          <w:rFonts w:ascii="Arial" w:hAnsi="Arial" w:cs="Arial"/>
        </w:rPr>
        <w:br w:type="page"/>
      </w:r>
    </w:p>
    <w:p w14:paraId="7B3918CC" w14:textId="0AE0999E" w:rsidR="00CB560D" w:rsidRPr="00A11265" w:rsidRDefault="00BF70FC" w:rsidP="008218E4">
      <w:pPr>
        <w:pStyle w:val="Heading1"/>
        <w:rPr>
          <w:lang w:eastAsia="en-AU"/>
        </w:rPr>
      </w:pPr>
      <w:bookmarkStart w:id="211" w:name="_Toc61956218"/>
      <w:r w:rsidRPr="00A11265">
        <w:rPr>
          <w:lang w:eastAsia="en-AU"/>
        </w:rPr>
        <w:lastRenderedPageBreak/>
        <w:t>Making a submission</w:t>
      </w:r>
      <w:bookmarkEnd w:id="211"/>
    </w:p>
    <w:p w14:paraId="58794F1B" w14:textId="16F28E9E" w:rsidR="008C0716" w:rsidRPr="00A11265" w:rsidRDefault="00C0589C" w:rsidP="00C0589C">
      <w:pPr>
        <w:rPr>
          <w:rFonts w:asciiTheme="minorHAnsi" w:hAnsiTheme="minorHAnsi" w:cs="Arial"/>
        </w:rPr>
      </w:pPr>
      <w:r w:rsidRPr="00A11265">
        <w:rPr>
          <w:rFonts w:asciiTheme="minorHAnsi" w:hAnsiTheme="minorHAnsi" w:cs="Arial"/>
        </w:rPr>
        <w:t>Interested parties are invited to email submissions</w:t>
      </w:r>
      <w:r w:rsidR="004522AE" w:rsidRPr="00A11265">
        <w:rPr>
          <w:rFonts w:asciiTheme="minorHAnsi" w:hAnsiTheme="minorHAnsi" w:cs="Arial"/>
        </w:rPr>
        <w:t xml:space="preserve"> on this Draft </w:t>
      </w:r>
      <w:r w:rsidR="00FB2629">
        <w:rPr>
          <w:rFonts w:asciiTheme="minorHAnsi" w:hAnsiTheme="minorHAnsi" w:cs="Arial"/>
        </w:rPr>
        <w:t xml:space="preserve">Position Paper </w:t>
      </w:r>
      <w:r w:rsidRPr="00A11265">
        <w:rPr>
          <w:rFonts w:asciiTheme="minorHAnsi" w:hAnsiTheme="minorHAnsi" w:cs="Arial"/>
        </w:rPr>
        <w:t xml:space="preserve">to the </w:t>
      </w:r>
      <w:r w:rsidR="001535CC" w:rsidRPr="00A11265">
        <w:rPr>
          <w:rFonts w:asciiTheme="minorHAnsi" w:hAnsiTheme="minorHAnsi" w:cs="Arial"/>
        </w:rPr>
        <w:t xml:space="preserve">Design Development Team </w:t>
      </w:r>
      <w:r w:rsidRPr="00A11265">
        <w:rPr>
          <w:rFonts w:asciiTheme="minorHAnsi" w:hAnsiTheme="minorHAnsi" w:cs="Arial"/>
        </w:rPr>
        <w:t xml:space="preserve">at </w:t>
      </w:r>
      <w:r w:rsidR="001E2586" w:rsidRPr="00A11265">
        <w:rPr>
          <w:rFonts w:asciiTheme="minorHAnsi" w:hAnsiTheme="minorHAnsi" w:cs="Arial"/>
        </w:rPr>
        <w:t>electricityr</w:t>
      </w:r>
      <w:r w:rsidR="00C5488A" w:rsidRPr="00A11265">
        <w:rPr>
          <w:rFonts w:asciiTheme="minorHAnsi" w:hAnsiTheme="minorHAnsi" w:cs="Arial"/>
        </w:rPr>
        <w:t>eform@nt.gov.au</w:t>
      </w:r>
      <w:r w:rsidR="001535CC" w:rsidRPr="00A11265">
        <w:rPr>
          <w:rFonts w:asciiTheme="minorHAnsi" w:hAnsiTheme="minorHAnsi" w:cs="Arial"/>
        </w:rPr>
        <w:t xml:space="preserve"> by</w:t>
      </w:r>
      <w:r w:rsidR="0006038E">
        <w:rPr>
          <w:rFonts w:asciiTheme="minorHAnsi" w:hAnsiTheme="minorHAnsi" w:cs="Arial"/>
        </w:rPr>
        <w:t xml:space="preserve"> </w:t>
      </w:r>
      <w:r w:rsidR="00FB2629">
        <w:rPr>
          <w:rFonts w:asciiTheme="minorHAnsi" w:hAnsiTheme="minorHAnsi" w:cs="Arial"/>
        </w:rPr>
        <w:t>1</w:t>
      </w:r>
      <w:r w:rsidR="0006038E">
        <w:rPr>
          <w:rFonts w:asciiTheme="minorHAnsi" w:hAnsiTheme="minorHAnsi" w:cs="Arial"/>
        </w:rPr>
        <w:t>2 March 2021</w:t>
      </w:r>
      <w:r w:rsidR="001535CC" w:rsidRPr="00A11265">
        <w:rPr>
          <w:rFonts w:asciiTheme="minorHAnsi" w:hAnsiTheme="minorHAnsi" w:cs="Arial"/>
        </w:rPr>
        <w:t>.</w:t>
      </w:r>
    </w:p>
    <w:p w14:paraId="40DCA888" w14:textId="77777777" w:rsidR="008C0716" w:rsidRPr="00A11265" w:rsidRDefault="008C0716" w:rsidP="008C0716">
      <w:pPr>
        <w:rPr>
          <w:rFonts w:asciiTheme="minorHAnsi" w:hAnsiTheme="minorHAnsi" w:cs="Arial"/>
        </w:rPr>
      </w:pPr>
      <w:r w:rsidRPr="00A11265">
        <w:rPr>
          <w:rFonts w:asciiTheme="minorHAnsi" w:hAnsiTheme="minorHAnsi" w:cs="Arial"/>
        </w:rPr>
        <w:t xml:space="preserve">Submissions should be provided in Adobe Acrobat or Microsoft Word format. On receipt of a submission a confirmation of receipt will be provided, however, it is the submitter’s responsibility to ensure successful delivery of their submission. </w:t>
      </w:r>
    </w:p>
    <w:p w14:paraId="13E4A609" w14:textId="77777777" w:rsidR="008C0716" w:rsidRPr="00A11265" w:rsidRDefault="008C0716" w:rsidP="008C0716">
      <w:pPr>
        <w:rPr>
          <w:rFonts w:asciiTheme="minorHAnsi" w:hAnsiTheme="minorHAnsi" w:cs="Arial"/>
        </w:rPr>
      </w:pPr>
      <w:r w:rsidRPr="00A11265">
        <w:rPr>
          <w:rFonts w:asciiTheme="minorHAnsi" w:hAnsiTheme="minorHAnsi" w:cs="Arial"/>
        </w:rPr>
        <w:t xml:space="preserve">The Design Development Team </w:t>
      </w:r>
      <w:r w:rsidR="00B962C1" w:rsidRPr="00A11265">
        <w:rPr>
          <w:rFonts w:asciiTheme="minorHAnsi" w:hAnsiTheme="minorHAnsi" w:cs="Arial"/>
        </w:rPr>
        <w:t xml:space="preserve">will publish submissions </w:t>
      </w:r>
      <w:r w:rsidRPr="00A11265">
        <w:rPr>
          <w:rFonts w:asciiTheme="minorHAnsi" w:hAnsiTheme="minorHAnsi" w:cs="Arial"/>
        </w:rPr>
        <w:t>on its website, with the exclusion of confidential information. Submissions must clearly identify any confidential information and a version suitable for publication with the confidential information removed should be provided.</w:t>
      </w:r>
    </w:p>
    <w:p w14:paraId="45C251E7" w14:textId="59C24C43" w:rsidR="001535CC" w:rsidRDefault="008C0716" w:rsidP="00C0589C">
      <w:pPr>
        <w:rPr>
          <w:rFonts w:asciiTheme="minorHAnsi" w:hAnsiTheme="minorHAnsi" w:cs="Arial"/>
        </w:rPr>
      </w:pPr>
      <w:r w:rsidRPr="00A11265">
        <w:rPr>
          <w:rFonts w:asciiTheme="minorHAnsi" w:hAnsiTheme="minorHAnsi" w:cs="Arial"/>
        </w:rPr>
        <w:t>The Design Development Team may also exercise its discretion not to publish any submission based on content, such as submissions containing material that is offensive or defamatory.</w:t>
      </w:r>
    </w:p>
    <w:p w14:paraId="0DF49457" w14:textId="30B42246" w:rsidR="006A704A" w:rsidRPr="00D24B1D" w:rsidRDefault="006A704A" w:rsidP="00D24B1D">
      <w:r>
        <w:rPr>
          <w:lang w:eastAsia="en-AU"/>
        </w:rPr>
        <w:t xml:space="preserve">Please contact the Design Development Team regarding any questions on the consultation by emailing </w:t>
      </w:r>
      <w:hyperlink r:id="rId17" w:history="1">
        <w:r w:rsidR="00FB2629" w:rsidRPr="0034025A">
          <w:rPr>
            <w:rStyle w:val="Hyperlink"/>
            <w:lang w:eastAsia="en-AU"/>
          </w:rPr>
          <w:t>electricityreform@nt.gov.au</w:t>
        </w:r>
      </w:hyperlink>
      <w:r w:rsidRPr="00D24B1D">
        <w:t>.</w:t>
      </w:r>
      <w:r w:rsidR="00FB2629">
        <w:t xml:space="preserve"> </w:t>
      </w:r>
      <w:bookmarkStart w:id="212" w:name="_GoBack"/>
      <w:bookmarkEnd w:id="212"/>
    </w:p>
    <w:p w14:paraId="5D4A9690" w14:textId="20578B2E" w:rsidR="00BF3C6E" w:rsidRPr="00A11265" w:rsidRDefault="00BF3C6E" w:rsidP="00CB560D">
      <w:pPr>
        <w:spacing w:before="200"/>
        <w:rPr>
          <w:rFonts w:asciiTheme="minorHAnsi" w:hAnsiTheme="minorHAnsi" w:cs="Arial"/>
        </w:rPr>
      </w:pPr>
    </w:p>
    <w:p w14:paraId="1E473AC9" w14:textId="77777777" w:rsidR="00F01378" w:rsidRPr="00A11265" w:rsidRDefault="00F01378" w:rsidP="00CB560D">
      <w:pPr>
        <w:spacing w:before="200"/>
        <w:rPr>
          <w:rFonts w:asciiTheme="minorHAnsi" w:hAnsiTheme="minorHAnsi" w:cs="Arial"/>
        </w:rPr>
        <w:sectPr w:rsidR="00F01378" w:rsidRPr="00A11265" w:rsidSect="00C95D30">
          <w:footerReference w:type="default" r:id="rId18"/>
          <w:headerReference w:type="first" r:id="rId19"/>
          <w:pgSz w:w="11906" w:h="16838" w:code="9"/>
          <w:pgMar w:top="794" w:right="794" w:bottom="794" w:left="794" w:header="794" w:footer="794" w:gutter="0"/>
          <w:cols w:space="708"/>
          <w:docGrid w:linePitch="360"/>
        </w:sectPr>
      </w:pPr>
    </w:p>
    <w:p w14:paraId="52E0E5D1" w14:textId="5DC2BDE3" w:rsidR="00567A66" w:rsidRPr="00A11265" w:rsidRDefault="00567A66" w:rsidP="007E5180">
      <w:pPr>
        <w:pStyle w:val="Heading1"/>
        <w:numPr>
          <w:ilvl w:val="0"/>
          <w:numId w:val="0"/>
        </w:numPr>
        <w:ind w:left="432" w:hanging="432"/>
        <w:rPr>
          <w:lang w:eastAsia="en-AU"/>
        </w:rPr>
      </w:pPr>
      <w:bookmarkStart w:id="213" w:name="_Toc61956219"/>
      <w:r w:rsidRPr="00A11265">
        <w:rPr>
          <w:lang w:eastAsia="en-AU"/>
        </w:rPr>
        <w:lastRenderedPageBreak/>
        <w:t>Appendix 1</w:t>
      </w:r>
      <w:r w:rsidR="00F01378" w:rsidRPr="00A11265">
        <w:rPr>
          <w:lang w:eastAsia="en-AU"/>
        </w:rPr>
        <w:t xml:space="preserve"> Essential System Services Concepts</w:t>
      </w:r>
      <w:bookmarkEnd w:id="213"/>
    </w:p>
    <w:p w14:paraId="594923AC" w14:textId="0AF166A6" w:rsidR="00740E66" w:rsidRPr="00A11265" w:rsidRDefault="00740E66" w:rsidP="00740E66">
      <w:pPr>
        <w:rPr>
          <w:rFonts w:asciiTheme="minorHAnsi" w:hAnsiTheme="minorHAnsi" w:cs="Arial"/>
        </w:rPr>
      </w:pPr>
      <w:r w:rsidRPr="00A11265">
        <w:rPr>
          <w:rFonts w:asciiTheme="minorHAnsi" w:hAnsiTheme="minorHAnsi" w:cs="Arial"/>
        </w:rPr>
        <w:t xml:space="preserve">Essential system services (also commonly referred to as ancillary services) are required in addition to the supply of energy and capacity, to support the power system to produce, transmit and distribute power of acceptable quality to consumers and continuously maintain the demand/supply balance during normal and abnormal system conditions. </w:t>
      </w:r>
    </w:p>
    <w:p w14:paraId="2483B693" w14:textId="05E8D589" w:rsidR="00740E66" w:rsidRPr="00A11265" w:rsidRDefault="00740E66" w:rsidP="006D2723">
      <w:pPr>
        <w:pStyle w:val="Heading2"/>
        <w:keepNext/>
        <w:numPr>
          <w:ilvl w:val="0"/>
          <w:numId w:val="0"/>
        </w:numPr>
        <w:ind w:left="576" w:hanging="576"/>
        <w:rPr>
          <w:lang w:eastAsia="en-AU"/>
        </w:rPr>
      </w:pPr>
      <w:bookmarkStart w:id="214" w:name="_Toc61956220"/>
      <w:r w:rsidRPr="00A11265">
        <w:rPr>
          <w:lang w:eastAsia="en-AU"/>
        </w:rPr>
        <w:t>Frequency management</w:t>
      </w:r>
      <w:bookmarkEnd w:id="214"/>
    </w:p>
    <w:p w14:paraId="6BFFE191" w14:textId="660DAD65" w:rsidR="00740E66" w:rsidRPr="00A11265" w:rsidRDefault="00740E66" w:rsidP="006D2723">
      <w:pPr>
        <w:pStyle w:val="Heading3"/>
        <w:numPr>
          <w:ilvl w:val="0"/>
          <w:numId w:val="0"/>
        </w:numPr>
        <w:ind w:left="720" w:hanging="720"/>
        <w:rPr>
          <w:szCs w:val="24"/>
          <w:lang w:eastAsia="en-AU"/>
        </w:rPr>
      </w:pPr>
      <w:r w:rsidRPr="00A11265">
        <w:rPr>
          <w:szCs w:val="24"/>
          <w:lang w:eastAsia="en-AU"/>
        </w:rPr>
        <w:t>Frequency regulation</w:t>
      </w:r>
    </w:p>
    <w:p w14:paraId="527D7268" w14:textId="77777777" w:rsidR="00740E66" w:rsidRPr="00A11265" w:rsidRDefault="00740E66" w:rsidP="00740E66">
      <w:pPr>
        <w:rPr>
          <w:rFonts w:asciiTheme="minorHAnsi" w:hAnsiTheme="minorHAnsi" w:cs="Arial"/>
        </w:rPr>
      </w:pPr>
      <w:r w:rsidRPr="00A11265">
        <w:rPr>
          <w:rFonts w:asciiTheme="minorHAnsi" w:hAnsiTheme="minorHAnsi" w:cs="Arial"/>
        </w:rPr>
        <w:t xml:space="preserve">In the Northern Territory, frequency is managed to a level of 50 Hz under normal operating conditions. Power system frequency reflects the balance between supply and demand. Maintaining frequency at 50 Hz therefore requires continuous balancing of generation and load. As generators are not </w:t>
      </w:r>
      <w:proofErr w:type="spellStart"/>
      <w:r w:rsidRPr="00A11265">
        <w:rPr>
          <w:rFonts w:asciiTheme="minorHAnsi" w:hAnsiTheme="minorHAnsi" w:cs="Arial"/>
        </w:rPr>
        <w:t>redispatched</w:t>
      </w:r>
      <w:proofErr w:type="spellEnd"/>
      <w:r w:rsidRPr="00A11265">
        <w:rPr>
          <w:rFonts w:asciiTheme="minorHAnsi" w:hAnsiTheme="minorHAnsi" w:cs="Arial"/>
        </w:rPr>
        <w:t xml:space="preserve"> continuously to adjust for every change in demand, frequency management services are required in power systems to maintain the balance, via constant frequency regulation.</w:t>
      </w:r>
    </w:p>
    <w:p w14:paraId="319AEE01" w14:textId="77777777" w:rsidR="00740E66" w:rsidRPr="00A11265" w:rsidRDefault="00740E66" w:rsidP="00740E66">
      <w:pPr>
        <w:rPr>
          <w:rFonts w:asciiTheme="minorHAnsi" w:hAnsiTheme="minorHAnsi" w:cs="Arial"/>
        </w:rPr>
      </w:pPr>
      <w:r w:rsidRPr="00A11265">
        <w:rPr>
          <w:rFonts w:asciiTheme="minorHAnsi" w:hAnsiTheme="minorHAnsi" w:cs="Arial"/>
        </w:rPr>
        <w:t>The purpose of maintaining a regulated frequency at 50 Hz, is to ensure power quality for connected generators and loads to the system. Failure to regulate frequency close to 50 Hz, leads to increased “wear and tear” on synchronous generators, and loads, especially motors.</w:t>
      </w:r>
    </w:p>
    <w:p w14:paraId="1FA95742" w14:textId="794F8CE8" w:rsidR="00740E66" w:rsidRPr="00A11265" w:rsidRDefault="00740E66" w:rsidP="006D2723">
      <w:pPr>
        <w:pStyle w:val="Heading3"/>
        <w:numPr>
          <w:ilvl w:val="0"/>
          <w:numId w:val="0"/>
        </w:numPr>
        <w:ind w:left="720" w:hanging="720"/>
        <w:rPr>
          <w:szCs w:val="24"/>
          <w:lang w:eastAsia="en-AU"/>
        </w:rPr>
      </w:pPr>
      <w:r w:rsidRPr="00A11265">
        <w:rPr>
          <w:szCs w:val="24"/>
          <w:lang w:eastAsia="en-AU"/>
        </w:rPr>
        <w:t>Rate of change of frequency</w:t>
      </w:r>
    </w:p>
    <w:p w14:paraId="3E854FF9" w14:textId="77777777" w:rsidR="00740E66" w:rsidRPr="00A11265" w:rsidRDefault="00740E66" w:rsidP="00740E66">
      <w:pPr>
        <w:rPr>
          <w:rFonts w:asciiTheme="minorHAnsi" w:hAnsiTheme="minorHAnsi" w:cs="Arial"/>
        </w:rPr>
      </w:pPr>
      <w:r w:rsidRPr="00A11265">
        <w:rPr>
          <w:rFonts w:asciiTheme="minorHAnsi" w:hAnsiTheme="minorHAnsi" w:cs="Arial"/>
        </w:rPr>
        <w:t>Rate of change of frequency (</w:t>
      </w:r>
      <w:proofErr w:type="spellStart"/>
      <w:r w:rsidRPr="00A11265">
        <w:rPr>
          <w:rFonts w:asciiTheme="minorHAnsi" w:hAnsiTheme="minorHAnsi" w:cs="Arial"/>
        </w:rPr>
        <w:t>RoCoF</w:t>
      </w:r>
      <w:proofErr w:type="spellEnd"/>
      <w:r w:rsidRPr="00A11265">
        <w:rPr>
          <w:rFonts w:asciiTheme="minorHAnsi" w:hAnsiTheme="minorHAnsi" w:cs="Arial"/>
        </w:rPr>
        <w:t>, measured in Hz/second) is controlled on power systems by a combination of synchronous inertia, the store of kinetic energy provided by the aggregate rotating mass of all machines directly coupled to the grid, and the size of a contingency, causing a mismatch in power supply and demand and the resultant frequency change.</w:t>
      </w:r>
    </w:p>
    <w:p w14:paraId="1B59EADC" w14:textId="77777777" w:rsidR="00740E66" w:rsidRPr="00A11265" w:rsidRDefault="00740E66" w:rsidP="00740E66">
      <w:pPr>
        <w:rPr>
          <w:rFonts w:asciiTheme="minorHAnsi" w:hAnsiTheme="minorHAnsi" w:cs="Arial"/>
        </w:rPr>
      </w:pPr>
      <w:r w:rsidRPr="00A11265">
        <w:rPr>
          <w:rFonts w:asciiTheme="minorHAnsi" w:hAnsiTheme="minorHAnsi" w:cs="Arial"/>
        </w:rPr>
        <w:t xml:space="preserve">High </w:t>
      </w:r>
      <w:proofErr w:type="spellStart"/>
      <w:r w:rsidRPr="00A11265">
        <w:rPr>
          <w:rFonts w:asciiTheme="minorHAnsi" w:hAnsiTheme="minorHAnsi" w:cs="Arial"/>
        </w:rPr>
        <w:t>RoCoF</w:t>
      </w:r>
      <w:proofErr w:type="spellEnd"/>
      <w:r w:rsidRPr="00A11265">
        <w:rPr>
          <w:rFonts w:asciiTheme="minorHAnsi" w:hAnsiTheme="minorHAnsi" w:cs="Arial"/>
        </w:rPr>
        <w:t xml:space="preserve"> is undesirable and potentially threatening to secure system operation, due to:</w:t>
      </w:r>
    </w:p>
    <w:p w14:paraId="6393C6DF" w14:textId="77777777" w:rsidR="00740E66" w:rsidRPr="00A11265" w:rsidRDefault="00740E66" w:rsidP="00E02062">
      <w:pPr>
        <w:pStyle w:val="ListParagraph"/>
        <w:numPr>
          <w:ilvl w:val="0"/>
          <w:numId w:val="12"/>
        </w:numPr>
        <w:ind w:left="426"/>
        <w:rPr>
          <w:rFonts w:cs="Arial"/>
        </w:rPr>
      </w:pPr>
      <w:r w:rsidRPr="00A11265">
        <w:rPr>
          <w:rFonts w:eastAsia="Calibri" w:cs="Arial"/>
          <w:iCs w:val="0"/>
        </w:rPr>
        <w:t xml:space="preserve">Pole slip — High </w:t>
      </w:r>
      <w:proofErr w:type="spellStart"/>
      <w:r w:rsidRPr="00A11265">
        <w:rPr>
          <w:rFonts w:eastAsia="Calibri" w:cs="Arial"/>
          <w:iCs w:val="0"/>
        </w:rPr>
        <w:t>RoCoF</w:t>
      </w:r>
      <w:proofErr w:type="spellEnd"/>
      <w:r w:rsidRPr="00A11265">
        <w:rPr>
          <w:rFonts w:eastAsia="Calibri" w:cs="Arial"/>
          <w:iCs w:val="0"/>
        </w:rPr>
        <w:t xml:space="preserve"> can cause pole slip. Pole slip is a loss of synchronisation between a synchronous generating unit and the power system resulting in significant damage to the generating unit. Failure to arrest high </w:t>
      </w:r>
      <w:proofErr w:type="spellStart"/>
      <w:r w:rsidRPr="00A11265">
        <w:rPr>
          <w:rFonts w:eastAsia="Calibri" w:cs="Arial"/>
          <w:iCs w:val="0"/>
        </w:rPr>
        <w:t>RoCoF</w:t>
      </w:r>
      <w:proofErr w:type="spellEnd"/>
      <w:r w:rsidRPr="00A11265">
        <w:rPr>
          <w:rFonts w:eastAsia="Calibri" w:cs="Arial"/>
          <w:iCs w:val="0"/>
        </w:rPr>
        <w:t xml:space="preserve"> on a power system will lead to synchronous generators tripping to protect themselves from pole slip, or alternatively sustaining severe damage as they lose synchronisation. </w:t>
      </w:r>
    </w:p>
    <w:p w14:paraId="374147C2" w14:textId="77777777" w:rsidR="00740E66" w:rsidRPr="00A11265" w:rsidRDefault="00740E66" w:rsidP="00E02062">
      <w:pPr>
        <w:pStyle w:val="ListParagraph"/>
        <w:numPr>
          <w:ilvl w:val="0"/>
          <w:numId w:val="12"/>
        </w:numPr>
        <w:ind w:left="426"/>
        <w:rPr>
          <w:rFonts w:cs="Arial"/>
        </w:rPr>
      </w:pPr>
      <w:r w:rsidRPr="00A11265">
        <w:rPr>
          <w:rFonts w:eastAsia="Calibri" w:cs="Arial"/>
          <w:iCs w:val="0"/>
        </w:rPr>
        <w:t xml:space="preserve">Under frequency load shedding (UFLS) operation — UFLS relays operate at distinct frequency levels below 50 Hz and are set with a time delay for operation. A </w:t>
      </w:r>
      <w:proofErr w:type="spellStart"/>
      <w:r w:rsidRPr="00A11265">
        <w:rPr>
          <w:rFonts w:eastAsia="Calibri" w:cs="Arial"/>
          <w:iCs w:val="0"/>
        </w:rPr>
        <w:t>RoCoF</w:t>
      </w:r>
      <w:proofErr w:type="spellEnd"/>
      <w:r w:rsidRPr="00A11265">
        <w:rPr>
          <w:rFonts w:eastAsia="Calibri" w:cs="Arial"/>
          <w:iCs w:val="0"/>
        </w:rPr>
        <w:t xml:space="preserve"> level that is too high can cause a system frequency nadir below an acceptable level for system generation before UFLS relays have time to operate. Under these circumstances, generators will disconnect to protect themselves from the rapid decline in frequency. </w:t>
      </w:r>
    </w:p>
    <w:p w14:paraId="5E6AA2C9" w14:textId="77777777" w:rsidR="00740E66" w:rsidRPr="00A11265" w:rsidRDefault="00740E66" w:rsidP="00E02062">
      <w:pPr>
        <w:pStyle w:val="ListParagraph"/>
        <w:numPr>
          <w:ilvl w:val="0"/>
          <w:numId w:val="12"/>
        </w:numPr>
        <w:ind w:left="426"/>
        <w:rPr>
          <w:rFonts w:cs="Arial"/>
        </w:rPr>
      </w:pPr>
      <w:r w:rsidRPr="00A11265">
        <w:rPr>
          <w:rFonts w:eastAsia="Calibri" w:cs="Arial"/>
          <w:iCs w:val="0"/>
        </w:rPr>
        <w:t xml:space="preserve">Contingency frequency or spinning reserve response time — </w:t>
      </w:r>
      <w:proofErr w:type="gramStart"/>
      <w:r w:rsidRPr="00A11265">
        <w:rPr>
          <w:rFonts w:eastAsia="Calibri" w:cs="Arial"/>
          <w:iCs w:val="0"/>
        </w:rPr>
        <w:t>A</w:t>
      </w:r>
      <w:proofErr w:type="gramEnd"/>
      <w:r w:rsidRPr="00A11265">
        <w:rPr>
          <w:rFonts w:eastAsia="Calibri" w:cs="Arial"/>
          <w:iCs w:val="0"/>
        </w:rPr>
        <w:t xml:space="preserve"> high </w:t>
      </w:r>
      <w:proofErr w:type="spellStart"/>
      <w:r w:rsidRPr="00A11265">
        <w:rPr>
          <w:rFonts w:eastAsia="Calibri" w:cs="Arial"/>
          <w:iCs w:val="0"/>
        </w:rPr>
        <w:t>RoCoF</w:t>
      </w:r>
      <w:proofErr w:type="spellEnd"/>
      <w:r w:rsidRPr="00A11265">
        <w:rPr>
          <w:rFonts w:eastAsia="Calibri" w:cs="Arial"/>
          <w:iCs w:val="0"/>
        </w:rPr>
        <w:t xml:space="preserve"> event requires a faster acting contingency frequency response to avoid the frequency nadir breaching specified limits. In this scenario frequency response providers need to quickly sense the frequency change and adjust their power output to arrest the frequency change. </w:t>
      </w:r>
    </w:p>
    <w:p w14:paraId="3BF3D389" w14:textId="77777777" w:rsidR="00740E66" w:rsidRPr="00A11265" w:rsidRDefault="00740E66" w:rsidP="00E02062">
      <w:pPr>
        <w:pStyle w:val="ListParagraph"/>
        <w:numPr>
          <w:ilvl w:val="0"/>
          <w:numId w:val="12"/>
        </w:numPr>
        <w:ind w:left="426"/>
        <w:rPr>
          <w:rFonts w:cs="Arial"/>
        </w:rPr>
      </w:pPr>
      <w:r w:rsidRPr="00A11265">
        <w:rPr>
          <w:rFonts w:eastAsia="Calibri" w:cs="Arial"/>
          <w:iCs w:val="0"/>
        </w:rPr>
        <w:t xml:space="preserve">Anti-islanding protection — Many power systems use protection set on </w:t>
      </w:r>
      <w:proofErr w:type="spellStart"/>
      <w:r w:rsidRPr="00A11265">
        <w:rPr>
          <w:rFonts w:eastAsia="Calibri" w:cs="Arial"/>
          <w:iCs w:val="0"/>
        </w:rPr>
        <w:t>RoCoF</w:t>
      </w:r>
      <w:proofErr w:type="spellEnd"/>
      <w:r w:rsidRPr="00A11265">
        <w:rPr>
          <w:rFonts w:eastAsia="Calibri" w:cs="Arial"/>
          <w:iCs w:val="0"/>
        </w:rPr>
        <w:t xml:space="preserve"> to detect islanding or ‘loss of mains’ on a network for embedded generation. This results in a straightforward method to trip embedded generation after islanding, thereby de-energising the islanded power system and allowing for technicians to complete works safely to re-energise. However, if </w:t>
      </w:r>
      <w:proofErr w:type="spellStart"/>
      <w:r w:rsidRPr="00A11265">
        <w:rPr>
          <w:rFonts w:eastAsia="Calibri" w:cs="Arial"/>
          <w:iCs w:val="0"/>
        </w:rPr>
        <w:t>RoCoF</w:t>
      </w:r>
      <w:proofErr w:type="spellEnd"/>
      <w:r w:rsidRPr="00A11265">
        <w:rPr>
          <w:rFonts w:eastAsia="Calibri" w:cs="Arial"/>
          <w:iCs w:val="0"/>
        </w:rPr>
        <w:t xml:space="preserve"> settings are set too low, this can exacerbate a response to generator contingency events, with embedded generation tripping under high </w:t>
      </w:r>
      <w:proofErr w:type="spellStart"/>
      <w:r w:rsidRPr="00A11265">
        <w:rPr>
          <w:rFonts w:eastAsia="Calibri" w:cs="Arial"/>
          <w:iCs w:val="0"/>
        </w:rPr>
        <w:t>RoCoF</w:t>
      </w:r>
      <w:proofErr w:type="spellEnd"/>
      <w:r w:rsidRPr="00A11265">
        <w:rPr>
          <w:rFonts w:eastAsia="Calibri" w:cs="Arial"/>
          <w:iCs w:val="0"/>
        </w:rPr>
        <w:t xml:space="preserve"> events.</w:t>
      </w:r>
    </w:p>
    <w:p w14:paraId="1406F26F" w14:textId="0C402280" w:rsidR="00740E66" w:rsidRPr="00A11265" w:rsidRDefault="00740E66" w:rsidP="006D2723">
      <w:pPr>
        <w:pStyle w:val="Heading3"/>
        <w:numPr>
          <w:ilvl w:val="0"/>
          <w:numId w:val="0"/>
        </w:numPr>
        <w:ind w:left="720" w:hanging="720"/>
        <w:rPr>
          <w:szCs w:val="24"/>
          <w:lang w:eastAsia="en-AU"/>
        </w:rPr>
      </w:pPr>
      <w:r w:rsidRPr="00A11265">
        <w:rPr>
          <w:szCs w:val="24"/>
          <w:lang w:eastAsia="en-AU"/>
        </w:rPr>
        <w:lastRenderedPageBreak/>
        <w:t>Contingency frequency control</w:t>
      </w:r>
    </w:p>
    <w:p w14:paraId="698F409F" w14:textId="77777777" w:rsidR="00740E66" w:rsidRPr="00A11265" w:rsidRDefault="00740E66" w:rsidP="00740E66">
      <w:pPr>
        <w:rPr>
          <w:rFonts w:asciiTheme="minorHAnsi" w:hAnsiTheme="minorHAnsi" w:cs="Arial"/>
        </w:rPr>
      </w:pPr>
      <w:r w:rsidRPr="00A11265">
        <w:rPr>
          <w:rFonts w:asciiTheme="minorHAnsi" w:hAnsiTheme="minorHAnsi" w:cs="Arial"/>
        </w:rPr>
        <w:t>Contingency frequency control is required to arrest the change in frequency following generator and load contingencies and to restore the frequency to 50 Hz. Failure to arrest the change in frequency will lead to frequency operation outside of a defined contingency limit. This can, depending on severity of the event, result in either under frequency load shedding, or generators disconnecting to protect themselves. An active power response must therefore be provided to arrest frequency change and restore frequency to 50 Hz following a contingency.</w:t>
      </w:r>
    </w:p>
    <w:p w14:paraId="37AF0BB9" w14:textId="77777777" w:rsidR="00740E66" w:rsidRPr="00A11265" w:rsidRDefault="00740E66" w:rsidP="00740E66">
      <w:pPr>
        <w:rPr>
          <w:rFonts w:asciiTheme="minorHAnsi" w:hAnsiTheme="minorHAnsi" w:cs="Arial"/>
        </w:rPr>
      </w:pPr>
      <w:r w:rsidRPr="00A11265">
        <w:rPr>
          <w:rFonts w:asciiTheme="minorHAnsi" w:hAnsiTheme="minorHAnsi" w:cs="Arial"/>
        </w:rPr>
        <w:t xml:space="preserve">Figure 1-1 illustrates the response of a power system to a contingency event involving the trip of a generator. The chart shows a frequency response characterised by the initial </w:t>
      </w:r>
      <w:proofErr w:type="spellStart"/>
      <w:r w:rsidRPr="00A11265">
        <w:rPr>
          <w:rFonts w:asciiTheme="minorHAnsi" w:hAnsiTheme="minorHAnsi" w:cs="Arial"/>
        </w:rPr>
        <w:t>RoCoF</w:t>
      </w:r>
      <w:proofErr w:type="spellEnd"/>
      <w:r w:rsidRPr="00A11265">
        <w:rPr>
          <w:rFonts w:asciiTheme="minorHAnsi" w:hAnsiTheme="minorHAnsi" w:cs="Arial"/>
        </w:rPr>
        <w:t xml:space="preserve">, the nadir or lowest frequency reached before the frequency settles to a stable point. The frequency then gradually recovers back to 50 Hz. A similar response can be drawn for a load contingency with the frequency increasing beyond 50 Hz, reaching a maximum point before the settling frequency is reached. </w:t>
      </w:r>
    </w:p>
    <w:p w14:paraId="51618AA1" w14:textId="34BE6264" w:rsidR="00740E66" w:rsidRDefault="00740E66" w:rsidP="00740E66">
      <w:pPr>
        <w:keepNext/>
        <w:spacing w:after="0"/>
        <w:rPr>
          <w:rFonts w:asciiTheme="minorHAnsi" w:hAnsiTheme="minorHAnsi" w:cs="Arial"/>
          <w:b/>
        </w:rPr>
      </w:pPr>
      <w:r w:rsidRPr="00A11265">
        <w:rPr>
          <w:rFonts w:asciiTheme="minorHAnsi" w:hAnsiTheme="minorHAnsi" w:cs="Arial"/>
          <w:b/>
        </w:rPr>
        <w:t>Figure 1-1</w:t>
      </w:r>
      <w:r w:rsidRPr="00A11265">
        <w:rPr>
          <w:rFonts w:asciiTheme="minorHAnsi" w:hAnsiTheme="minorHAnsi" w:cs="Arial"/>
          <w:b/>
        </w:rPr>
        <w:tab/>
        <w:t>Frequency response of a power system to a contingency</w:t>
      </w:r>
    </w:p>
    <w:p w14:paraId="06D16C33" w14:textId="7EFDF9AD" w:rsidR="00154622" w:rsidRDefault="00154622" w:rsidP="00154622">
      <w:r w:rsidRPr="00A11265">
        <w:rPr>
          <w:noProof/>
          <w:color w:val="FF0000"/>
          <w:lang w:eastAsia="en-AU"/>
        </w:rPr>
        <w:drawing>
          <wp:inline distT="0" distB="0" distL="0" distR="0" wp14:anchorId="70606A97" wp14:editId="4C4A3219">
            <wp:extent cx="6377651" cy="2079002"/>
            <wp:effectExtent l="0" t="0" r="4445" b="0"/>
            <wp:docPr id="1" name="Graphic 20" descr="See previous paragraph for description of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4"/>
                        </a:ext>
                      </a:extLst>
                    </a:blip>
                    <a:srcRect b="53170"/>
                    <a:stretch/>
                  </pic:blipFill>
                  <pic:spPr bwMode="auto">
                    <a:xfrm>
                      <a:off x="0" y="0"/>
                      <a:ext cx="6382542" cy="2080596"/>
                    </a:xfrm>
                    <a:prstGeom prst="rect">
                      <a:avLst/>
                    </a:prstGeom>
                    <a:ln>
                      <a:noFill/>
                    </a:ln>
                    <a:effectLst/>
                    <a:extLst>
                      <a:ext uri="{53640926-AAD7-44D8-BBD7-CCE9431645EC}">
                        <a14:shadowObscured xmlns:a14="http://schemas.microsoft.com/office/drawing/2010/main"/>
                      </a:ext>
                    </a:extLst>
                  </pic:spPr>
                </pic:pic>
              </a:graphicData>
            </a:graphic>
          </wp:inline>
        </w:drawing>
      </w:r>
    </w:p>
    <w:p w14:paraId="508F71C3" w14:textId="77777777" w:rsidR="00740E66" w:rsidRPr="00A11265" w:rsidRDefault="00740E66" w:rsidP="00740E66">
      <w:pPr>
        <w:rPr>
          <w:rFonts w:asciiTheme="minorHAnsi" w:hAnsiTheme="minorHAnsi" w:cs="Arial"/>
          <w:sz w:val="18"/>
          <w:szCs w:val="18"/>
        </w:rPr>
      </w:pPr>
      <w:r w:rsidRPr="00A11265">
        <w:rPr>
          <w:rFonts w:asciiTheme="minorHAnsi" w:hAnsiTheme="minorHAnsi" w:cs="Arial"/>
          <w:i/>
          <w:sz w:val="18"/>
          <w:szCs w:val="18"/>
        </w:rPr>
        <w:t>Source:</w:t>
      </w:r>
      <w:r w:rsidRPr="00A11265">
        <w:rPr>
          <w:rFonts w:asciiTheme="minorHAnsi" w:hAnsiTheme="minorHAnsi" w:cs="Arial"/>
          <w:sz w:val="18"/>
          <w:szCs w:val="18"/>
        </w:rPr>
        <w:t xml:space="preserve"> Source: GHD Advisory, Essential System Service Framework review, report prepared for the Energy Transformation Implementation Unit (WA), July 2019</w:t>
      </w:r>
    </w:p>
    <w:p w14:paraId="2A0C14F7" w14:textId="7E06D1EA" w:rsidR="00740E66" w:rsidRPr="00A11265" w:rsidRDefault="00740E66" w:rsidP="006D2723">
      <w:pPr>
        <w:pStyle w:val="Heading2"/>
        <w:keepNext/>
        <w:numPr>
          <w:ilvl w:val="0"/>
          <w:numId w:val="0"/>
        </w:numPr>
        <w:ind w:left="576" w:hanging="576"/>
        <w:rPr>
          <w:lang w:eastAsia="en-AU"/>
        </w:rPr>
      </w:pPr>
      <w:bookmarkStart w:id="215" w:name="_Toc61956221"/>
      <w:r w:rsidRPr="00A11265">
        <w:rPr>
          <w:lang w:eastAsia="en-AU"/>
        </w:rPr>
        <w:t>Voltage management</w:t>
      </w:r>
      <w:bookmarkEnd w:id="215"/>
    </w:p>
    <w:p w14:paraId="2C8D1A61" w14:textId="77777777" w:rsidR="00740E66" w:rsidRPr="00A11265" w:rsidRDefault="00740E66" w:rsidP="00740E66">
      <w:pPr>
        <w:rPr>
          <w:rFonts w:asciiTheme="minorHAnsi" w:hAnsiTheme="minorHAnsi" w:cs="Arial"/>
        </w:rPr>
      </w:pPr>
      <w:r w:rsidRPr="00A11265">
        <w:rPr>
          <w:rFonts w:asciiTheme="minorHAnsi" w:hAnsiTheme="minorHAnsi" w:cs="Arial"/>
        </w:rPr>
        <w:t xml:space="preserve">Keeping voltages regulated between defined technical limits is required to allow voltage quality to be maintained for connected loads, which may suffer from mal-operation or failure due to lack of adequate voltage regulation. Historical studies of power quality requirements on systems have found a limited tolerance for operation below or above design voltages for loads. Low voltage may cause overheating, reduced torque and a shortened lifespan for a motor connected to the power system. Inverter connected equipment such as computers may also suffer from low or high voltages beyond design, with potential for damage and data loss. </w:t>
      </w:r>
    </w:p>
    <w:p w14:paraId="3C39BC20" w14:textId="77777777" w:rsidR="00740E66" w:rsidRPr="00A11265" w:rsidRDefault="00740E66" w:rsidP="00740E66">
      <w:pPr>
        <w:rPr>
          <w:rFonts w:asciiTheme="minorHAnsi" w:hAnsiTheme="minorHAnsi" w:cs="Arial"/>
        </w:rPr>
      </w:pPr>
      <w:r w:rsidRPr="00A11265">
        <w:rPr>
          <w:rFonts w:asciiTheme="minorHAnsi" w:hAnsiTheme="minorHAnsi" w:cs="Arial"/>
        </w:rPr>
        <w:t>Voltage regulation in steady state operation and under a contingency requires sufficient reactive power reserve to respond to the changing needs of the power system. Reactive power, which can be provided by equipment such as capacitor banks, static VAR compensators (SVCs), static synchronous compensators (STATCOMs), or by generators is required to compensate for the inherent inductive and capacitive elements of a power system, which otherwise could raise or lower voltage beyond defined limits.</w:t>
      </w:r>
    </w:p>
    <w:p w14:paraId="0DF2FD02" w14:textId="77777777" w:rsidR="00740E66" w:rsidRPr="00A11265" w:rsidRDefault="00740E66" w:rsidP="00740E66">
      <w:pPr>
        <w:rPr>
          <w:rFonts w:asciiTheme="minorHAnsi" w:hAnsiTheme="minorHAnsi" w:cs="Arial"/>
        </w:rPr>
      </w:pPr>
      <w:r w:rsidRPr="00A11265">
        <w:rPr>
          <w:rFonts w:asciiTheme="minorHAnsi" w:hAnsiTheme="minorHAnsi" w:cs="Arial"/>
        </w:rPr>
        <w:t xml:space="preserve">Unlike frequency management, which is universal and power system-wide, in many areas of the power system, voltage management via essential system services will not be required because generators are inherently capable of producing adequate reactive power to keep voltages within acceptable levels and will provide this system support when dispatched. </w:t>
      </w:r>
    </w:p>
    <w:p w14:paraId="3DE0DFFD" w14:textId="77777777" w:rsidR="00740E66" w:rsidRPr="00A11265" w:rsidRDefault="00740E66" w:rsidP="00740E66">
      <w:pPr>
        <w:rPr>
          <w:rFonts w:asciiTheme="minorHAnsi" w:hAnsiTheme="minorHAnsi" w:cs="Arial"/>
        </w:rPr>
      </w:pPr>
      <w:r w:rsidRPr="00A11265">
        <w:rPr>
          <w:rFonts w:asciiTheme="minorHAnsi" w:hAnsiTheme="minorHAnsi" w:cs="Arial"/>
        </w:rPr>
        <w:lastRenderedPageBreak/>
        <w:t>However, in some areas of the network, ancillary equipment, such as reactors, capacitor banks, SVCs, STATCOMs and synchronous condensers may be required to control voltages, or voltage control could be provided through dispatch of a generator (where the generator is not already providing power).</w:t>
      </w:r>
    </w:p>
    <w:p w14:paraId="76FDB177" w14:textId="4BF1F1A1" w:rsidR="00740E66" w:rsidRPr="00A11265" w:rsidRDefault="00740E66" w:rsidP="006D2723">
      <w:pPr>
        <w:pStyle w:val="Heading2"/>
        <w:keepNext/>
        <w:numPr>
          <w:ilvl w:val="0"/>
          <w:numId w:val="0"/>
        </w:numPr>
        <w:ind w:left="576" w:hanging="576"/>
        <w:rPr>
          <w:lang w:eastAsia="en-AU"/>
        </w:rPr>
      </w:pPr>
      <w:bookmarkStart w:id="216" w:name="_Toc61956222"/>
      <w:r w:rsidRPr="00A11265">
        <w:rPr>
          <w:lang w:eastAsia="en-AU"/>
        </w:rPr>
        <w:t>System restart</w:t>
      </w:r>
      <w:bookmarkEnd w:id="216"/>
    </w:p>
    <w:p w14:paraId="7D8E2A26" w14:textId="77777777" w:rsidR="00740E66" w:rsidRPr="00A11265" w:rsidRDefault="00740E66" w:rsidP="00740E66">
      <w:pPr>
        <w:rPr>
          <w:rFonts w:asciiTheme="minorHAnsi" w:hAnsiTheme="minorHAnsi" w:cs="Arial"/>
        </w:rPr>
      </w:pPr>
      <w:r w:rsidRPr="00A11265">
        <w:rPr>
          <w:rFonts w:asciiTheme="minorHAnsi" w:hAnsiTheme="minorHAnsi" w:cs="Arial"/>
        </w:rPr>
        <w:t>Restart services are required to restart the system from a total power outage on the network. While not relevant to day-to-day system operation, a restart essential system service is required to ensure the system can recover in a timely manner following a blackout event.</w:t>
      </w:r>
    </w:p>
    <w:p w14:paraId="51F3E0D3" w14:textId="77777777" w:rsidR="00740E66" w:rsidRPr="00A11265" w:rsidRDefault="00740E66" w:rsidP="006D2723">
      <w:pPr>
        <w:pStyle w:val="Heading2"/>
        <w:keepNext/>
        <w:numPr>
          <w:ilvl w:val="0"/>
          <w:numId w:val="0"/>
        </w:numPr>
        <w:ind w:left="576" w:hanging="576"/>
        <w:rPr>
          <w:lang w:eastAsia="en-AU"/>
        </w:rPr>
      </w:pPr>
      <w:bookmarkStart w:id="217" w:name="_Toc61956223"/>
      <w:r w:rsidRPr="00A11265">
        <w:rPr>
          <w:lang w:eastAsia="en-AU"/>
        </w:rPr>
        <w:t>System strength</w:t>
      </w:r>
      <w:bookmarkEnd w:id="217"/>
    </w:p>
    <w:p w14:paraId="1404E395" w14:textId="77777777" w:rsidR="00740E66" w:rsidRPr="00A11265" w:rsidRDefault="00740E66" w:rsidP="00740E66">
      <w:pPr>
        <w:rPr>
          <w:rFonts w:asciiTheme="minorHAnsi" w:hAnsiTheme="minorHAnsi" w:cs="Arial"/>
        </w:rPr>
      </w:pPr>
      <w:r w:rsidRPr="00A11265">
        <w:rPr>
          <w:rFonts w:asciiTheme="minorHAnsi" w:hAnsiTheme="minorHAnsi" w:cs="Arial"/>
        </w:rPr>
        <w:t>System strength can be defined as the ability of the power system to maintain and control voltages and the voltage waveform at any given location on the power system, both during steady state operation and after a disturbance. Low system strength is distinct as an issue from voltage management, due to its cause, which is primarily due to an inability to maintain a robust voltage waveform and contribute sufficient fault current for reliable protection operation.</w:t>
      </w:r>
    </w:p>
    <w:p w14:paraId="1A9B984F" w14:textId="77777777" w:rsidR="00740E66" w:rsidRPr="006D2723" w:rsidRDefault="00740E66" w:rsidP="00740E66">
      <w:pPr>
        <w:rPr>
          <w:rFonts w:asciiTheme="minorHAnsi" w:hAnsiTheme="minorHAnsi" w:cs="Arial"/>
        </w:rPr>
      </w:pPr>
      <w:r w:rsidRPr="00A11265">
        <w:rPr>
          <w:rFonts w:asciiTheme="minorHAnsi" w:hAnsiTheme="minorHAnsi" w:cs="Arial"/>
        </w:rPr>
        <w:t>System strength is an emerging issue on many power systems, particularly where inverter connected generation utilising grid following inverters, forms an increasing proportion of the generation mix. The three-phase fault level at a point in the power system is often used as a high-level indicator of system strength. Declining fault curren</w:t>
      </w:r>
      <w:r w:rsidRPr="006D2723">
        <w:rPr>
          <w:rFonts w:asciiTheme="minorHAnsi" w:hAnsiTheme="minorHAnsi" w:cs="Arial"/>
        </w:rPr>
        <w:t xml:space="preserve">t contribution from inverter connected generation technologies, compared with conventional synchronous generators, leads to declining system strength and issues with protection operation, and extreme voltage variations including a higher rate of change of voltage. In addition, grid following inverters can be susceptible to unstable operation when connected to areas of the power system with low system strength. </w:t>
      </w:r>
    </w:p>
    <w:p w14:paraId="3DD0DEC6" w14:textId="0F5F5B7D" w:rsidR="00740E66" w:rsidRPr="006D2723" w:rsidRDefault="00740E66" w:rsidP="00D9724C">
      <w:pPr>
        <w:rPr>
          <w:rFonts w:asciiTheme="minorHAnsi" w:hAnsiTheme="minorHAnsi" w:cs="Arial"/>
        </w:rPr>
      </w:pPr>
      <w:r w:rsidRPr="006D2723">
        <w:rPr>
          <w:rFonts w:asciiTheme="minorHAnsi" w:hAnsiTheme="minorHAnsi" w:cs="Arial"/>
        </w:rPr>
        <w:t>Grid following inverters rely on tracking the voltage angle to control their output. In areas of poor system strength, the voltage waveform is less robust and significant changes in voltage magnitude and phase can occur, which can result in disconnection of inverter connected generation or activation of fault ride through response. In areas of low system strength, the action of generation connected via grid following inverters can significantly influence the voltage waveform. The interaction of these generators can lead to poorly damped or unstable power system oscillations.</w:t>
      </w:r>
    </w:p>
    <w:sectPr w:rsidR="00740E66" w:rsidRPr="006D2723" w:rsidSect="00C95D30">
      <w:pgSz w:w="11906" w:h="16838" w:code="9"/>
      <w:pgMar w:top="794" w:right="794" w:bottom="794" w:left="794" w:header="794" w:footer="79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A9B3" w16cex:dateUtc="2021-01-13T06:17:00Z"/>
  <w16cex:commentExtensible w16cex:durableId="23A9AB13" w16cex:dateUtc="2021-01-13T06:23:00Z"/>
  <w16cex:commentExtensible w16cex:durableId="23A9A2F1" w16cex:dateUtc="2021-01-13T05:48:00Z"/>
  <w16cex:commentExtensible w16cex:durableId="23A9A33E" w16cex:dateUtc="2021-01-13T05:50:00Z"/>
  <w16cex:commentExtensible w16cex:durableId="23A9A3C8" w16cex:dateUtc="2021-01-13T05:52:00Z"/>
  <w16cex:commentExtensible w16cex:durableId="23A9A409" w16cex:dateUtc="2021-01-13T05:53:00Z"/>
  <w16cex:commentExtensible w16cex:durableId="23A9A4AB" w16cex:dateUtc="2021-01-13T05:56:00Z"/>
  <w16cex:commentExtensible w16cex:durableId="23A9A4BF" w16cex:dateUtc="2021-01-13T05:56:00Z"/>
  <w16cex:commentExtensible w16cex:durableId="23A9A4D4" w16cex:dateUtc="2021-01-13T05:56:00Z"/>
  <w16cex:commentExtensible w16cex:durableId="23A9A4F7" w16cex:dateUtc="2021-01-13T05:57:00Z"/>
  <w16cex:commentExtensible w16cex:durableId="23A9A6A6" w16cex:dateUtc="2021-01-13T06:04:00Z"/>
  <w16cex:commentExtensible w16cex:durableId="23A9A916" w16cex:dateUtc="2021-01-13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CD6109" w16cid:durableId="23A9A9B3"/>
  <w16cid:commentId w16cid:paraId="1C78AD52" w16cid:durableId="23A9AB13"/>
  <w16cid:commentId w16cid:paraId="418E761B" w16cid:durableId="23A9A2F1"/>
  <w16cid:commentId w16cid:paraId="2EE81A50" w16cid:durableId="23A9A33E"/>
  <w16cid:commentId w16cid:paraId="4A124C5E" w16cid:durableId="23A9A3C8"/>
  <w16cid:commentId w16cid:paraId="697B65F9" w16cid:durableId="23A9A409"/>
  <w16cid:commentId w16cid:paraId="656CB496" w16cid:durableId="23A9A4AB"/>
  <w16cid:commentId w16cid:paraId="0B154EC3" w16cid:durableId="23A9A4BF"/>
  <w16cid:commentId w16cid:paraId="09D57010" w16cid:durableId="23A9A4D4"/>
  <w16cid:commentId w16cid:paraId="55C86C3A" w16cid:durableId="23A9A4F7"/>
  <w16cid:commentId w16cid:paraId="4DFDDE43" w16cid:durableId="23A9A6A6"/>
  <w16cid:commentId w16cid:paraId="129F6D95" w16cid:durableId="23A9A9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E9AF4" w14:textId="77777777" w:rsidR="00C46246" w:rsidRDefault="00C46246">
      <w:r>
        <w:separator/>
      </w:r>
    </w:p>
  </w:endnote>
  <w:endnote w:type="continuationSeparator" w:id="0">
    <w:p w14:paraId="7F4B2FDC" w14:textId="77777777" w:rsidR="00C46246" w:rsidRDefault="00C46246">
      <w:r>
        <w:continuationSeparator/>
      </w:r>
    </w:p>
  </w:endnote>
  <w:endnote w:type="continuationNotice" w:id="1">
    <w:p w14:paraId="5464D46B" w14:textId="77777777" w:rsidR="00C46246" w:rsidRDefault="00C462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14:paraId="622C33BD" w14:textId="2C387895" w:rsidR="00C46246" w:rsidRDefault="00C46246"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66</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2C2A" w14:textId="77777777" w:rsidR="00C46246" w:rsidRPr="00F538BD" w:rsidRDefault="00C46246" w:rsidP="004E7885">
    <w:pPr>
      <w:spacing w:after="0"/>
      <w:jc w:val="right"/>
      <w:rPr>
        <w:sz w:val="6"/>
        <w:szCs w:val="6"/>
      </w:rPr>
    </w:pPr>
    <w:r w:rsidRPr="001852AF">
      <w:rPr>
        <w:noProof/>
        <w:lang w:eastAsia="en-AU"/>
      </w:rPr>
      <w:drawing>
        <wp:inline distT="0" distB="0" distL="0" distR="0" wp14:anchorId="4FFD0B5B" wp14:editId="39A97648">
          <wp:extent cx="1572479" cy="561600"/>
          <wp:effectExtent l="0" t="0" r="889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46246" w14:paraId="7E17C38D" w14:textId="77777777" w:rsidTr="00154622">
      <w:trPr>
        <w:cantSplit/>
        <w:trHeight w:val="680"/>
        <w:tblHeader/>
      </w:trPr>
      <w:tc>
        <w:tcPr>
          <w:tcW w:w="10318" w:type="dxa"/>
          <w:tcBorders>
            <w:top w:val="single" w:sz="4" w:space="0" w:color="auto"/>
            <w:left w:val="nil"/>
            <w:bottom w:val="nil"/>
            <w:right w:val="nil"/>
          </w:tcBorders>
          <w:vAlign w:val="bottom"/>
          <w:hideMark/>
        </w:tcPr>
        <w:p w14:paraId="02BF6C30" w14:textId="6A1D2DD8" w:rsidR="00C46246" w:rsidRDefault="00FB2629" w:rsidP="00A7565D">
          <w:pPr>
            <w:spacing w:after="0"/>
            <w:rPr>
              <w:rStyle w:val="PageNumber"/>
            </w:rPr>
          </w:pPr>
          <w:sdt>
            <w:sdtPr>
              <w:rPr>
                <w:rStyle w:val="PageNumber"/>
              </w:rPr>
              <w:alias w:val="Date"/>
              <w:id w:val="-777260476"/>
              <w:dataBinding w:prefixMappings="xmlns:ns0='http://schemas.microsoft.com/office/2006/coverPageProps' " w:xpath="/ns0:CoverPageProperties[1]/ns0:PublishDate[1]" w:storeItemID="{55AF091B-3C7A-41E3-B477-F2FDAA23CFDA}"/>
              <w:date w:fullDate="2021-01-30T00:00:00Z">
                <w:dateFormat w:val="d MMMM yyyy"/>
                <w:lid w:val="en-AU"/>
                <w:storeMappedDataAs w:val="dateTime"/>
                <w:calendar w:val="gregorian"/>
              </w:date>
            </w:sdtPr>
            <w:sdtEndPr>
              <w:rPr>
                <w:rStyle w:val="PageNumber"/>
              </w:rPr>
            </w:sdtEndPr>
            <w:sdtContent>
              <w:r>
                <w:rPr>
                  <w:rStyle w:val="PageNumber"/>
                </w:rPr>
                <w:t>30 January 2021</w:t>
              </w:r>
            </w:sdtContent>
          </w:sdt>
          <w:r w:rsidR="00C46246">
            <w:rPr>
              <w:rStyle w:val="PageNumber"/>
            </w:rPr>
            <w:t xml:space="preserve"> </w:t>
          </w:r>
        </w:p>
        <w:p w14:paraId="306DC47D" w14:textId="32A4F867" w:rsidR="00C46246" w:rsidRDefault="00C46246" w:rsidP="00A7565D">
          <w:pPr>
            <w:spacing w:after="0"/>
            <w:rPr>
              <w:rStyle w:val="PageNumber"/>
            </w:rPr>
          </w:pP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FB2629">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FB2629">
            <w:rPr>
              <w:rStyle w:val="PageNumber"/>
              <w:noProof/>
            </w:rPr>
            <w:t>66</w:t>
          </w:r>
          <w:r>
            <w:rPr>
              <w:rStyle w:val="PageNumber"/>
            </w:rPr>
            <w:fldChar w:fldCharType="end"/>
          </w:r>
        </w:p>
      </w:tc>
    </w:tr>
  </w:tbl>
  <w:p w14:paraId="7CEB79FD" w14:textId="033B38D1" w:rsidR="00C46246" w:rsidRPr="00A7565D" w:rsidRDefault="00C46246" w:rsidP="00A7565D">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822D" w14:textId="77777777" w:rsidR="00C46246" w:rsidRPr="00F538BD" w:rsidRDefault="00C46246"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7C466" w14:textId="74E2729C" w:rsidR="00C46246" w:rsidRPr="00A7565D" w:rsidRDefault="00C46246" w:rsidP="00A7565D">
    <w:pPr>
      <w:pStyle w:val="Footer"/>
      <w:rPr>
        <w:rStyle w:val="PageNumber"/>
        <w:sz w:val="2"/>
        <w:szCs w:val="2"/>
      </w:rPr>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46246" w:rsidRPr="00132658" w14:paraId="733480E2" w14:textId="77777777" w:rsidTr="00D24B1D">
      <w:trPr>
        <w:cantSplit/>
        <w:trHeight w:hRule="exact" w:val="680"/>
        <w:tblHeader/>
      </w:trPr>
      <w:tc>
        <w:tcPr>
          <w:tcW w:w="10318" w:type="dxa"/>
          <w:vAlign w:val="bottom"/>
        </w:tcPr>
        <w:p w14:paraId="51454D77" w14:textId="43107A6B" w:rsidR="00C46246" w:rsidRPr="00CE6614" w:rsidRDefault="00FB2629" w:rsidP="00A7565D">
          <w:pPr>
            <w:spacing w:after="0"/>
            <w:rPr>
              <w:rStyle w:val="PageNumber"/>
            </w:rPr>
          </w:pPr>
          <w:sdt>
            <w:sdtPr>
              <w:rPr>
                <w:rStyle w:val="PageNumber"/>
              </w:rPr>
              <w:alias w:val="Date"/>
              <w:tag w:val=""/>
              <w:id w:val="1578473972"/>
              <w:placeholder>
                <w:docPart w:val="F2F1CA4FEC854383BF092702980B269D"/>
              </w:placeholder>
              <w:dataBinding w:prefixMappings="xmlns:ns0='http://schemas.microsoft.com/office/2006/coverPageProps' " w:xpath="/ns0:CoverPageProperties[1]/ns0:PublishDate[1]" w:storeItemID="{55AF091B-3C7A-41E3-B477-F2FDAA23CFDA}"/>
              <w15:color w:val="000000"/>
              <w:date w:fullDate="2021-01-30T00:00:00Z">
                <w:dateFormat w:val="d MMMM yyyy"/>
                <w:lid w:val="en-AU"/>
                <w:storeMappedDataAs w:val="dateTime"/>
                <w:calendar w:val="gregorian"/>
              </w:date>
            </w:sdtPr>
            <w:sdtEndPr>
              <w:rPr>
                <w:rStyle w:val="PageNumber"/>
              </w:rPr>
            </w:sdtEndPr>
            <w:sdtContent>
              <w:r>
                <w:rPr>
                  <w:rStyle w:val="PageNumber"/>
                </w:rPr>
                <w:t>30 January 2021</w:t>
              </w:r>
            </w:sdtContent>
          </w:sdt>
        </w:p>
        <w:p w14:paraId="6AB9C12B" w14:textId="2FA76132" w:rsidR="00C46246" w:rsidRPr="00AC4488" w:rsidRDefault="00C46246" w:rsidP="00A7565D">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B2629">
            <w:rPr>
              <w:rStyle w:val="PageNumber"/>
              <w:noProof/>
            </w:rPr>
            <w:t>64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B2629">
            <w:rPr>
              <w:rStyle w:val="PageNumber"/>
              <w:noProof/>
            </w:rPr>
            <w:t>66</w:t>
          </w:r>
          <w:r w:rsidRPr="00AC4488">
            <w:rPr>
              <w:rStyle w:val="PageNumber"/>
            </w:rPr>
            <w:fldChar w:fldCharType="end"/>
          </w:r>
        </w:p>
      </w:tc>
    </w:tr>
  </w:tbl>
  <w:p w14:paraId="57111F39" w14:textId="77777777" w:rsidR="00C46246" w:rsidRPr="00A7565D" w:rsidRDefault="00C46246" w:rsidP="00A7565D">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26987" w14:textId="77777777" w:rsidR="00C46246" w:rsidRDefault="00C46246">
      <w:r>
        <w:separator/>
      </w:r>
    </w:p>
  </w:footnote>
  <w:footnote w:type="continuationSeparator" w:id="0">
    <w:p w14:paraId="67117A80" w14:textId="77777777" w:rsidR="00C46246" w:rsidRDefault="00C46246">
      <w:r>
        <w:continuationSeparator/>
      </w:r>
    </w:p>
  </w:footnote>
  <w:footnote w:type="continuationNotice" w:id="1">
    <w:p w14:paraId="10EB4AF4" w14:textId="77777777" w:rsidR="00C46246" w:rsidRDefault="00C46246">
      <w:pPr>
        <w:spacing w:after="0"/>
      </w:pPr>
    </w:p>
  </w:footnote>
  <w:footnote w:id="2">
    <w:p w14:paraId="5E1068DF" w14:textId="461A5290" w:rsidR="00C46246" w:rsidRPr="00222483" w:rsidRDefault="00C46246">
      <w:pPr>
        <w:pStyle w:val="FootnoteText"/>
      </w:pPr>
      <w:r>
        <w:rPr>
          <w:rStyle w:val="FootnoteReference"/>
        </w:rPr>
        <w:footnoteRef/>
      </w:r>
      <w:r>
        <w:t xml:space="preserve"> Northern Territory Government 2020, </w:t>
      </w:r>
      <w:r w:rsidRPr="008218E4">
        <w:rPr>
          <w:i/>
        </w:rPr>
        <w:t xml:space="preserve">Northern Territory Electricity Market Priority Reform </w:t>
      </w:r>
      <w:r>
        <w:rPr>
          <w:i/>
        </w:rPr>
        <w:t>Program</w:t>
      </w:r>
      <w:r w:rsidRPr="008218E4">
        <w:rPr>
          <w:i/>
        </w:rPr>
        <w:t xml:space="preserve"> </w:t>
      </w:r>
      <w:r>
        <w:rPr>
          <w:i/>
        </w:rPr>
        <w:t>—</w:t>
      </w:r>
      <w:r w:rsidRPr="008218E4">
        <w:rPr>
          <w:i/>
        </w:rPr>
        <w:t xml:space="preserve"> Introductory notes on scope and work program</w:t>
      </w:r>
      <w:r>
        <w:t xml:space="preserve">, </w:t>
      </w:r>
      <w:r w:rsidRPr="00222483">
        <w:t>June</w:t>
      </w:r>
      <w:r>
        <w:t>.</w:t>
      </w:r>
    </w:p>
  </w:footnote>
  <w:footnote w:id="3">
    <w:p w14:paraId="36942128" w14:textId="77777777" w:rsidR="00C46246" w:rsidRDefault="00C46246">
      <w:pPr>
        <w:pStyle w:val="FootnoteText"/>
      </w:pPr>
      <w:r>
        <w:rPr>
          <w:rStyle w:val="FootnoteReference"/>
        </w:rPr>
        <w:footnoteRef/>
      </w:r>
      <w:r>
        <w:t xml:space="preserve"> Department of Treasury and Finance 2019, </w:t>
      </w:r>
      <w:r w:rsidRPr="008218E4">
        <w:rPr>
          <w:i/>
        </w:rPr>
        <w:t>Northern Territory Electricity Market Consultation Draft Functional Specification</w:t>
      </w:r>
      <w:r>
        <w:t>, February.</w:t>
      </w:r>
    </w:p>
  </w:footnote>
  <w:footnote w:id="4">
    <w:p w14:paraId="6BC8D5D1" w14:textId="120EC009" w:rsidR="00C46246" w:rsidRPr="00B07FB2" w:rsidRDefault="00C46246" w:rsidP="00CB560D">
      <w:pPr>
        <w:pStyle w:val="FootnoteText"/>
        <w:rPr>
          <w:rFonts w:ascii="Arial" w:hAnsi="Arial" w:cs="Arial"/>
        </w:rPr>
      </w:pPr>
      <w:r>
        <w:rPr>
          <w:rStyle w:val="FootnoteReference"/>
        </w:rPr>
        <w:footnoteRef/>
      </w:r>
      <w:r>
        <w:t xml:space="preserve"> </w:t>
      </w:r>
      <w:r w:rsidRPr="0021322F">
        <w:rPr>
          <w:i/>
        </w:rPr>
        <w:t>National Electricity (South Australia) Act 1996</w:t>
      </w:r>
      <w:r>
        <w:rPr>
          <w:i/>
        </w:rPr>
        <w:t xml:space="preserve"> (SA)</w:t>
      </w:r>
      <w:r>
        <w:t xml:space="preserve">, National Electricity Law, </w:t>
      </w:r>
      <w:proofErr w:type="spellStart"/>
      <w:r>
        <w:t>sch</w:t>
      </w:r>
      <w:proofErr w:type="spellEnd"/>
      <w:r>
        <w:t xml:space="preserve"> 1 s 7.</w:t>
      </w:r>
    </w:p>
  </w:footnote>
  <w:footnote w:id="5">
    <w:p w14:paraId="793A93D5" w14:textId="77777777" w:rsidR="00C46246" w:rsidRDefault="00C46246" w:rsidP="00EE7D01">
      <w:pPr>
        <w:pStyle w:val="FootnoteText"/>
      </w:pPr>
      <w:r>
        <w:rPr>
          <w:rStyle w:val="FootnoteReference"/>
        </w:rPr>
        <w:footnoteRef/>
      </w:r>
      <w:r>
        <w:t xml:space="preserve"> NTC </w:t>
      </w:r>
      <w:r w:rsidRPr="00621A4F">
        <w:rPr>
          <w:rFonts w:asciiTheme="minorHAnsi" w:hAnsiTheme="minorHAnsi" w:cs="Arial"/>
        </w:rPr>
        <w:t>(clauses 3.3.5.1 &amp; 3.3.5.13)</w:t>
      </w:r>
    </w:p>
  </w:footnote>
  <w:footnote w:id="6">
    <w:p w14:paraId="20266B0E" w14:textId="77777777" w:rsidR="00C46246" w:rsidRPr="008356C2" w:rsidRDefault="00C46246" w:rsidP="00621A4F">
      <w:pPr>
        <w:pStyle w:val="FootnoteText"/>
      </w:pPr>
      <w:r>
        <w:rPr>
          <w:rStyle w:val="FootnoteReference"/>
        </w:rPr>
        <w:footnoteRef/>
      </w:r>
      <w:r>
        <w:t xml:space="preserve"> </w:t>
      </w:r>
      <w:r>
        <w:rPr>
          <w:sz w:val="18"/>
        </w:rPr>
        <w:t>All services are outlined in the SSG however some do not have an implementation date, and are not in practice enacted.</w:t>
      </w:r>
    </w:p>
  </w:footnote>
  <w:footnote w:id="7">
    <w:p w14:paraId="52D5289D" w14:textId="4018E300" w:rsidR="00C46246" w:rsidRDefault="00C46246">
      <w:pPr>
        <w:pStyle w:val="FootnoteText"/>
      </w:pPr>
      <w:r>
        <w:rPr>
          <w:rStyle w:val="FootnoteReference"/>
        </w:rPr>
        <w:footnoteRef/>
      </w:r>
      <w:r>
        <w:t xml:space="preserve"> NTC </w:t>
      </w:r>
      <w:r w:rsidRPr="00621A4F">
        <w:rPr>
          <w:rFonts w:asciiTheme="minorHAnsi" w:hAnsiTheme="minorHAnsi" w:cs="Arial"/>
        </w:rPr>
        <w:t>Clause 3.3.5.16</w:t>
      </w:r>
    </w:p>
  </w:footnote>
  <w:footnote w:id="8">
    <w:p w14:paraId="1B57A480" w14:textId="4EC9B1B6" w:rsidR="00C46246" w:rsidRDefault="00C46246">
      <w:pPr>
        <w:pStyle w:val="FootnoteText"/>
      </w:pPr>
      <w:r>
        <w:rPr>
          <w:rStyle w:val="FootnoteReference"/>
        </w:rPr>
        <w:footnoteRef/>
      </w:r>
      <w:r>
        <w:t xml:space="preserve"> </w:t>
      </w:r>
      <w:r w:rsidRPr="00CD63CB">
        <w:t xml:space="preserve">The </w:t>
      </w:r>
      <w:r>
        <w:t>GPS</w:t>
      </w:r>
      <w:r w:rsidRPr="00CD63CB">
        <w:t xml:space="preserve"> specified in the NTC require a frequency response capability with a </w:t>
      </w:r>
      <w:proofErr w:type="spellStart"/>
      <w:r w:rsidRPr="00CD63CB">
        <w:t>deadband</w:t>
      </w:r>
      <w:proofErr w:type="spellEnd"/>
      <w:r w:rsidRPr="00CD63CB">
        <w:t xml:space="preserve"> settable within the range of 0 ± 1.0 Hz and a </w:t>
      </w:r>
      <w:proofErr w:type="spellStart"/>
      <w:r w:rsidRPr="00CD63CB">
        <w:t>droop of</w:t>
      </w:r>
      <w:proofErr w:type="spellEnd"/>
      <w:r w:rsidRPr="00CD63CB">
        <w:t xml:space="preserve"> between 1 per cent and 6 per cent. The </w:t>
      </w:r>
      <w:proofErr w:type="spellStart"/>
      <w:r w:rsidRPr="00CD63CB">
        <w:t>deadband</w:t>
      </w:r>
      <w:proofErr w:type="spellEnd"/>
      <w:r w:rsidRPr="00CD63CB">
        <w:t xml:space="preserve"> and droop settings are to be agreed with the System Controller. </w:t>
      </w:r>
    </w:p>
  </w:footnote>
  <w:footnote w:id="9">
    <w:p w14:paraId="2FC63967" w14:textId="77904529" w:rsidR="00C46246" w:rsidRDefault="00C46246">
      <w:pPr>
        <w:pStyle w:val="FootnoteText"/>
      </w:pPr>
      <w:r>
        <w:rPr>
          <w:rStyle w:val="FootnoteReference"/>
        </w:rPr>
        <w:footnoteRef/>
      </w:r>
      <w:r>
        <w:t xml:space="preserve"> Allowing</w:t>
      </w:r>
      <w:r w:rsidRPr="00A37A05">
        <w:t xml:space="preserve"> generators to switch off their governors when not contracted to provide FCAS and to implement </w:t>
      </w:r>
      <w:proofErr w:type="spellStart"/>
      <w:r w:rsidRPr="00A37A05">
        <w:t>deadbands</w:t>
      </w:r>
      <w:proofErr w:type="spellEnd"/>
      <w:r w:rsidRPr="00A37A05">
        <w:t xml:space="preserve"> set to the limits o</w:t>
      </w:r>
      <w:r>
        <w:t xml:space="preserve">f the normal frequency band. </w:t>
      </w:r>
    </w:p>
  </w:footnote>
  <w:footnote w:id="10">
    <w:p w14:paraId="4A779625" w14:textId="3D489D6F" w:rsidR="00C46246" w:rsidRDefault="00C46246">
      <w:pPr>
        <w:pStyle w:val="FootnoteText"/>
      </w:pPr>
      <w:r>
        <w:rPr>
          <w:rStyle w:val="FootnoteReference"/>
        </w:rPr>
        <w:footnoteRef/>
      </w:r>
      <w:r>
        <w:t xml:space="preserve"> </w:t>
      </w:r>
      <w:r w:rsidRPr="00621A4F">
        <w:rPr>
          <w:rFonts w:asciiTheme="minorHAnsi" w:hAnsiTheme="minorHAnsi" w:cs="Arial"/>
        </w:rPr>
        <w:t xml:space="preserve">These changes require generators to implement narrow </w:t>
      </w:r>
      <w:proofErr w:type="spellStart"/>
      <w:r w:rsidRPr="00621A4F">
        <w:rPr>
          <w:rFonts w:asciiTheme="minorHAnsi" w:hAnsiTheme="minorHAnsi" w:cs="Arial"/>
        </w:rPr>
        <w:t>deadbands</w:t>
      </w:r>
      <w:proofErr w:type="spellEnd"/>
      <w:r w:rsidRPr="00621A4F">
        <w:rPr>
          <w:rFonts w:asciiTheme="minorHAnsi" w:hAnsiTheme="minorHAnsi" w:cs="Arial"/>
        </w:rPr>
        <w:t xml:space="preserve"> set well within the normal frequency band and to provide a 5% droop. Generators are required to provide frequency response (subject to energy source limitations) whenever they are synchronised.</w:t>
      </w:r>
    </w:p>
  </w:footnote>
  <w:footnote w:id="11">
    <w:p w14:paraId="2A292B7B" w14:textId="607F9F3A" w:rsidR="00C46246" w:rsidRDefault="00C46246">
      <w:pPr>
        <w:pStyle w:val="FootnoteText"/>
      </w:pPr>
      <w:r>
        <w:rPr>
          <w:rStyle w:val="FootnoteReference"/>
        </w:rPr>
        <w:footnoteRef/>
      </w:r>
      <w:r>
        <w:t xml:space="preserve"> </w:t>
      </w:r>
      <w:r w:rsidRPr="00621A4F">
        <w:rPr>
          <w:rFonts w:asciiTheme="minorHAnsi" w:hAnsiTheme="minorHAnsi" w:cs="Arial"/>
        </w:rPr>
        <w:t xml:space="preserve">In addition, the GPS places obligations on generating systems to ride through a </w:t>
      </w:r>
      <w:proofErr w:type="spellStart"/>
      <w:r w:rsidRPr="00621A4F">
        <w:rPr>
          <w:rFonts w:asciiTheme="minorHAnsi" w:hAnsiTheme="minorHAnsi" w:cs="Arial"/>
        </w:rPr>
        <w:t>RoCoF</w:t>
      </w:r>
      <w:proofErr w:type="spellEnd"/>
      <w:r w:rsidRPr="00621A4F">
        <w:rPr>
          <w:rFonts w:asciiTheme="minorHAnsi" w:hAnsiTheme="minorHAnsi" w:cs="Arial"/>
        </w:rPr>
        <w:t xml:space="preserve"> of up to ± 4 Hz/s.</w:t>
      </w:r>
    </w:p>
  </w:footnote>
  <w:footnote w:id="12">
    <w:p w14:paraId="14DE89EA" w14:textId="21161AA2" w:rsidR="00C46246" w:rsidRDefault="00C46246">
      <w:pPr>
        <w:pStyle w:val="FootnoteText"/>
      </w:pPr>
      <w:r>
        <w:rPr>
          <w:rStyle w:val="FootnoteReference"/>
        </w:rPr>
        <w:footnoteRef/>
      </w:r>
      <w:r>
        <w:t xml:space="preserve"> Jacana Energy 2020</w:t>
      </w:r>
      <w:r w:rsidRPr="00074521">
        <w:rPr>
          <w:i/>
        </w:rPr>
        <w:t>, Submission to Issues Paper</w:t>
      </w:r>
      <w:r>
        <w:t>, p. 2.</w:t>
      </w:r>
    </w:p>
  </w:footnote>
  <w:footnote w:id="13">
    <w:p w14:paraId="03200E62" w14:textId="38CDED79" w:rsidR="00C46246" w:rsidRDefault="00C46246">
      <w:pPr>
        <w:pStyle w:val="FootnoteText"/>
      </w:pPr>
      <w:r>
        <w:rPr>
          <w:rStyle w:val="FootnoteReference"/>
        </w:rPr>
        <w:footnoteRef/>
      </w:r>
      <w:r>
        <w:t xml:space="preserve"> </w:t>
      </w:r>
      <w:proofErr w:type="spellStart"/>
      <w:r>
        <w:t>Epuron</w:t>
      </w:r>
      <w:proofErr w:type="spellEnd"/>
      <w:r>
        <w:t xml:space="preserve"> 2020, </w:t>
      </w:r>
      <w:r w:rsidRPr="00074521">
        <w:rPr>
          <w:i/>
        </w:rPr>
        <w:t>Submission to Issues Paper</w:t>
      </w:r>
      <w:r>
        <w:t>, p. 2.</w:t>
      </w:r>
    </w:p>
  </w:footnote>
  <w:footnote w:id="14">
    <w:p w14:paraId="731F1095" w14:textId="37259860" w:rsidR="00C46246" w:rsidRDefault="00C46246">
      <w:pPr>
        <w:pStyle w:val="FootnoteText"/>
      </w:pPr>
      <w:r>
        <w:rPr>
          <w:rStyle w:val="FootnoteReference"/>
        </w:rPr>
        <w:footnoteRef/>
      </w:r>
      <w:r>
        <w:t xml:space="preserve"> T-Gen 2020, </w:t>
      </w:r>
      <w:r w:rsidRPr="00074521">
        <w:rPr>
          <w:i/>
        </w:rPr>
        <w:t>Submission to Issues Paper</w:t>
      </w:r>
      <w:r>
        <w:t>, p. 4.</w:t>
      </w:r>
    </w:p>
  </w:footnote>
  <w:footnote w:id="15">
    <w:p w14:paraId="0B6F1896" w14:textId="576BE6D2" w:rsidR="00C46246" w:rsidRDefault="00C46246" w:rsidP="0062248C">
      <w:pPr>
        <w:pStyle w:val="FootnoteText"/>
      </w:pPr>
      <w:r>
        <w:rPr>
          <w:rStyle w:val="FootnoteReference"/>
        </w:rPr>
        <w:footnoteRef/>
      </w:r>
      <w:r>
        <w:t xml:space="preserve"> Eni Australia 2020, </w:t>
      </w:r>
      <w:r w:rsidRPr="00074521">
        <w:rPr>
          <w:i/>
        </w:rPr>
        <w:t>Submission to Issues Paper</w:t>
      </w:r>
      <w:r>
        <w:t>, p. 4.</w:t>
      </w:r>
    </w:p>
  </w:footnote>
  <w:footnote w:id="16">
    <w:p w14:paraId="3C450A3B" w14:textId="5D2AAD5E" w:rsidR="00C46246" w:rsidRDefault="00C46246">
      <w:pPr>
        <w:pStyle w:val="FootnoteText"/>
      </w:pPr>
      <w:r>
        <w:rPr>
          <w:rStyle w:val="FootnoteReference"/>
        </w:rPr>
        <w:footnoteRef/>
      </w:r>
      <w:r>
        <w:t xml:space="preserve"> Sun Cable 2020, </w:t>
      </w:r>
      <w:r w:rsidRPr="00074521">
        <w:rPr>
          <w:i/>
        </w:rPr>
        <w:t>Submission to Issues Paper</w:t>
      </w:r>
      <w:r>
        <w:t>, p. 4-5.</w:t>
      </w:r>
    </w:p>
  </w:footnote>
  <w:footnote w:id="17">
    <w:p w14:paraId="1522E8E2" w14:textId="0EA5C369" w:rsidR="00C46246" w:rsidRDefault="00C46246">
      <w:pPr>
        <w:pStyle w:val="FootnoteText"/>
      </w:pPr>
      <w:r>
        <w:rPr>
          <w:rStyle w:val="FootnoteReference"/>
        </w:rPr>
        <w:footnoteRef/>
      </w:r>
      <w:r>
        <w:t xml:space="preserve"> T-Gen 2020, </w:t>
      </w:r>
      <w:r w:rsidRPr="00074521">
        <w:rPr>
          <w:i/>
        </w:rPr>
        <w:t>Submission to Issues Paper</w:t>
      </w:r>
      <w:r>
        <w:t>, p. 5.</w:t>
      </w:r>
    </w:p>
  </w:footnote>
  <w:footnote w:id="18">
    <w:p w14:paraId="4DC35271" w14:textId="22783FB4" w:rsidR="00C46246" w:rsidRDefault="00C46246">
      <w:pPr>
        <w:pStyle w:val="FootnoteText"/>
      </w:pPr>
      <w:r>
        <w:rPr>
          <w:rStyle w:val="FootnoteReference"/>
        </w:rPr>
        <w:footnoteRef/>
      </w:r>
      <w:r>
        <w:t xml:space="preserve"> Sun Cable 2020, </w:t>
      </w:r>
      <w:r w:rsidRPr="00892B81">
        <w:rPr>
          <w:i/>
        </w:rPr>
        <w:t>Submission to Issues Paper</w:t>
      </w:r>
      <w:r>
        <w:t>, p. 5.</w:t>
      </w:r>
    </w:p>
  </w:footnote>
  <w:footnote w:id="19">
    <w:p w14:paraId="493FB1F1" w14:textId="1E8DBFED" w:rsidR="00C46246" w:rsidRDefault="00C46246">
      <w:pPr>
        <w:pStyle w:val="FootnoteText"/>
      </w:pPr>
      <w:r>
        <w:rPr>
          <w:rStyle w:val="FootnoteReference"/>
        </w:rPr>
        <w:footnoteRef/>
      </w:r>
      <w:r>
        <w:t xml:space="preserve"> C</w:t>
      </w:r>
      <w:r w:rsidRPr="00C46D94">
        <w:t>redible contingency events are currently defined in the SSG.</w:t>
      </w:r>
    </w:p>
  </w:footnote>
  <w:footnote w:id="20">
    <w:p w14:paraId="06E3A9B7" w14:textId="6AA4FC20" w:rsidR="00C46246" w:rsidRDefault="00C46246">
      <w:pPr>
        <w:pStyle w:val="FootnoteText"/>
      </w:pPr>
      <w:r>
        <w:rPr>
          <w:rStyle w:val="FootnoteReference"/>
        </w:rPr>
        <w:footnoteRef/>
      </w:r>
      <w:r>
        <w:t xml:space="preserve"> </w:t>
      </w:r>
      <w:r w:rsidRPr="00561F27">
        <w:t>Australian Energy Market Commission 2020, National Electricity Rules Version No. 140, May, rule 3.11.4(a1).</w:t>
      </w:r>
    </w:p>
  </w:footnote>
  <w:footnote w:id="21">
    <w:p w14:paraId="57E4E639" w14:textId="501BE100" w:rsidR="00C46246" w:rsidRPr="00B07FB2" w:rsidRDefault="00C46246" w:rsidP="00CB560D">
      <w:pPr>
        <w:pStyle w:val="FootnoteText"/>
        <w:rPr>
          <w:rFonts w:ascii="Arial" w:hAnsi="Arial" w:cs="Arial"/>
        </w:rPr>
      </w:pPr>
      <w:r w:rsidRPr="00B07FB2">
        <w:rPr>
          <w:rStyle w:val="FootnoteReference"/>
          <w:rFonts w:ascii="Arial" w:hAnsi="Arial" w:cs="Arial"/>
        </w:rPr>
        <w:footnoteRef/>
      </w:r>
      <w:r w:rsidRPr="00B07FB2">
        <w:rPr>
          <w:rFonts w:ascii="Arial" w:hAnsi="Arial" w:cs="Arial"/>
        </w:rPr>
        <w:t xml:space="preserve"> </w:t>
      </w:r>
      <w:r>
        <w:rPr>
          <w:rFonts w:asciiTheme="minorHAnsi" w:hAnsiTheme="minorHAnsi"/>
        </w:rPr>
        <w:t>Power and Water Corporation</w:t>
      </w:r>
      <w:r>
        <w:t xml:space="preserve"> 2020</w:t>
      </w:r>
      <w:r w:rsidRPr="008218E4">
        <w:rPr>
          <w:i/>
        </w:rPr>
        <w:t>, System Control Technical Code Version No. 6</w:t>
      </w:r>
      <w:r>
        <w:t xml:space="preserve">, March, </w:t>
      </w:r>
      <w:r>
        <w:rPr>
          <w:rFonts w:ascii="Arial" w:hAnsi="Arial" w:cs="Arial"/>
        </w:rPr>
        <w:t>s.</w:t>
      </w:r>
      <w:r w:rsidRPr="00B07FB2">
        <w:rPr>
          <w:rFonts w:ascii="Arial" w:hAnsi="Arial" w:cs="Arial"/>
        </w:rPr>
        <w:t xml:space="preserve"> 3.3.2.</w:t>
      </w:r>
    </w:p>
  </w:footnote>
  <w:footnote w:id="22">
    <w:p w14:paraId="036103EF" w14:textId="5749B7D9" w:rsidR="00C46246" w:rsidRDefault="00C46246" w:rsidP="00FB5318">
      <w:pPr>
        <w:pStyle w:val="FootnoteText"/>
      </w:pPr>
      <w:r>
        <w:rPr>
          <w:rStyle w:val="FootnoteReference"/>
        </w:rPr>
        <w:footnoteRef/>
      </w:r>
      <w:r>
        <w:t xml:space="preserve"> </w:t>
      </w:r>
      <w:r>
        <w:rPr>
          <w:rFonts w:asciiTheme="minorHAnsi" w:hAnsiTheme="minorHAnsi"/>
        </w:rPr>
        <w:t>Power and Water Corporation</w:t>
      </w:r>
      <w:r>
        <w:t xml:space="preserve"> 2017, </w:t>
      </w:r>
      <w:r w:rsidRPr="008218E4">
        <w:rPr>
          <w:i/>
        </w:rPr>
        <w:t>Secure</w:t>
      </w:r>
      <w:r>
        <w:rPr>
          <w:i/>
        </w:rPr>
        <w:t xml:space="preserve"> System</w:t>
      </w:r>
      <w:r w:rsidRPr="008218E4">
        <w:rPr>
          <w:i/>
        </w:rPr>
        <w:t xml:space="preserve"> Guidelines Version No. 4</w:t>
      </w:r>
      <w:r>
        <w:t>, March, s. 5, 12.</w:t>
      </w:r>
    </w:p>
  </w:footnote>
  <w:footnote w:id="23">
    <w:p w14:paraId="3BE09887" w14:textId="2F9318DA" w:rsidR="00C46246" w:rsidRDefault="00C46246">
      <w:pPr>
        <w:pStyle w:val="FootnoteText"/>
      </w:pPr>
      <w:r>
        <w:rPr>
          <w:rStyle w:val="FootnoteReference"/>
        </w:rPr>
        <w:footnoteRef/>
      </w:r>
      <w:r>
        <w:t xml:space="preserve"> Power and Water Corporation 2020</w:t>
      </w:r>
      <w:r w:rsidRPr="00666682">
        <w:rPr>
          <w:i/>
        </w:rPr>
        <w:t>, System Control Technical Code Version No. 6</w:t>
      </w:r>
      <w:r>
        <w:t xml:space="preserve">, March, </w:t>
      </w:r>
      <w:r>
        <w:rPr>
          <w:rFonts w:ascii="Arial" w:hAnsi="Arial" w:cs="Arial"/>
        </w:rPr>
        <w:t>clause 3.2.10(c</w:t>
      </w:r>
      <w:proofErr w:type="gramStart"/>
      <w:r>
        <w:rPr>
          <w:rFonts w:ascii="Arial" w:hAnsi="Arial" w:cs="Arial"/>
        </w:rPr>
        <w:t>)(</w:t>
      </w:r>
      <w:proofErr w:type="gramEnd"/>
      <w:r>
        <w:rPr>
          <w:rFonts w:ascii="Arial" w:hAnsi="Arial" w:cs="Arial"/>
        </w:rPr>
        <w:t>4)</w:t>
      </w:r>
      <w:r w:rsidRPr="00B07FB2">
        <w:rPr>
          <w:rFonts w:ascii="Arial" w:hAnsi="Arial" w:cs="Arial"/>
        </w:rPr>
        <w:t>.</w:t>
      </w:r>
    </w:p>
  </w:footnote>
  <w:footnote w:id="24">
    <w:p w14:paraId="2A1649FC" w14:textId="1AB45A36" w:rsidR="00C46246" w:rsidRDefault="00C46246">
      <w:pPr>
        <w:pStyle w:val="FootnoteText"/>
      </w:pPr>
      <w:r>
        <w:rPr>
          <w:rStyle w:val="FootnoteReference"/>
        </w:rPr>
        <w:footnoteRef/>
      </w:r>
      <w:r>
        <w:t xml:space="preserve"> Jacana Energy 2020, </w:t>
      </w:r>
      <w:r w:rsidRPr="00892B81">
        <w:rPr>
          <w:i/>
        </w:rPr>
        <w:t>Submission to Issues Paper</w:t>
      </w:r>
      <w:r>
        <w:t>, p. 3-4.</w:t>
      </w:r>
    </w:p>
  </w:footnote>
  <w:footnote w:id="25">
    <w:p w14:paraId="22D9AE72" w14:textId="7918F247" w:rsidR="00C46246" w:rsidRDefault="00C46246">
      <w:pPr>
        <w:pStyle w:val="FootnoteText"/>
      </w:pPr>
      <w:r>
        <w:rPr>
          <w:rStyle w:val="FootnoteReference"/>
        </w:rPr>
        <w:footnoteRef/>
      </w:r>
      <w:r>
        <w:t xml:space="preserve"> T-Gen 2020, </w:t>
      </w:r>
      <w:r w:rsidRPr="00892B81">
        <w:rPr>
          <w:i/>
        </w:rPr>
        <w:t>Submission to Issues Paper</w:t>
      </w:r>
      <w:r>
        <w:t>, p. 6.</w:t>
      </w:r>
    </w:p>
  </w:footnote>
  <w:footnote w:id="26">
    <w:p w14:paraId="421F9BF5" w14:textId="3D99174A" w:rsidR="00C46246" w:rsidRDefault="00C46246">
      <w:pPr>
        <w:pStyle w:val="FootnoteText"/>
      </w:pPr>
      <w:r>
        <w:rPr>
          <w:rStyle w:val="FootnoteReference"/>
        </w:rPr>
        <w:footnoteRef/>
      </w:r>
      <w:r>
        <w:t xml:space="preserve"> T-Gen 2020, </w:t>
      </w:r>
      <w:r w:rsidRPr="00892B81">
        <w:rPr>
          <w:i/>
        </w:rPr>
        <w:t>Submission to Issues Paper</w:t>
      </w:r>
      <w:r>
        <w:t>, p. 6.</w:t>
      </w:r>
    </w:p>
  </w:footnote>
  <w:footnote w:id="27">
    <w:p w14:paraId="32484F6E" w14:textId="77777777" w:rsidR="00C46246" w:rsidRDefault="00C46246">
      <w:pPr>
        <w:pStyle w:val="FootnoteText"/>
      </w:pPr>
      <w:r>
        <w:rPr>
          <w:rStyle w:val="FootnoteReference"/>
        </w:rPr>
        <w:footnoteRef/>
      </w:r>
      <w:r>
        <w:t xml:space="preserve"> </w:t>
      </w:r>
      <w:r w:rsidRPr="00CC6FCF">
        <w:t>Electricity Industry (Wholesale Electricity Market) Regulations 2004</w:t>
      </w:r>
      <w:r>
        <w:t xml:space="preserve">, </w:t>
      </w:r>
      <w:r w:rsidRPr="008218E4">
        <w:rPr>
          <w:i/>
        </w:rPr>
        <w:t>Wholesale Electricity Market Rules</w:t>
      </w:r>
      <w:r>
        <w:t>, 30 March 2020, rule 3.10.</w:t>
      </w:r>
    </w:p>
  </w:footnote>
  <w:footnote w:id="28">
    <w:p w14:paraId="19DB3721" w14:textId="77777777" w:rsidR="00C46246" w:rsidRDefault="00C46246" w:rsidP="00272466">
      <w:pPr>
        <w:pStyle w:val="FootnoteText"/>
      </w:pPr>
      <w:r>
        <w:rPr>
          <w:rStyle w:val="FootnoteReference"/>
        </w:rPr>
        <w:footnoteRef/>
      </w:r>
      <w:r>
        <w:t xml:space="preserve"> Western Power System Management 2014, </w:t>
      </w:r>
      <w:r w:rsidRPr="008218E4">
        <w:rPr>
          <w:i/>
        </w:rPr>
        <w:t>System Restart Standard</w:t>
      </w:r>
      <w:r>
        <w:t>, October.</w:t>
      </w:r>
    </w:p>
  </w:footnote>
  <w:footnote w:id="29">
    <w:p w14:paraId="340FF2E9" w14:textId="12C2CB0A" w:rsidR="00C46246" w:rsidRDefault="00C46246">
      <w:pPr>
        <w:pStyle w:val="FootnoteText"/>
      </w:pPr>
      <w:r>
        <w:rPr>
          <w:rStyle w:val="FootnoteReference"/>
        </w:rPr>
        <w:footnoteRef/>
      </w:r>
      <w:r>
        <w:t xml:space="preserve"> </w:t>
      </w:r>
      <w:r>
        <w:rPr>
          <w:rFonts w:asciiTheme="minorHAnsi" w:hAnsiTheme="minorHAnsi" w:cs="Arial"/>
        </w:rPr>
        <w:t>Australian Energy Market Commission</w:t>
      </w:r>
      <w:r w:rsidRPr="00666682">
        <w:rPr>
          <w:rFonts w:asciiTheme="minorHAnsi" w:hAnsiTheme="minorHAnsi" w:cs="Arial"/>
        </w:rPr>
        <w:t xml:space="preserve"> 2020, </w:t>
      </w:r>
      <w:r w:rsidRPr="00666682">
        <w:rPr>
          <w:rFonts w:asciiTheme="minorHAnsi" w:hAnsiTheme="minorHAnsi" w:cs="Arial"/>
          <w:i/>
        </w:rPr>
        <w:t>National Electricity Rules Version No. 140</w:t>
      </w:r>
      <w:r w:rsidRPr="00666682">
        <w:rPr>
          <w:rFonts w:asciiTheme="minorHAnsi" w:hAnsiTheme="minorHAnsi" w:cs="Arial"/>
        </w:rPr>
        <w:t>, May, rule</w:t>
      </w:r>
      <w:r>
        <w:rPr>
          <w:rFonts w:asciiTheme="minorHAnsi" w:hAnsiTheme="minorHAnsi" w:cs="Arial"/>
        </w:rPr>
        <w:t xml:space="preserve">s </w:t>
      </w:r>
      <w:proofErr w:type="gramStart"/>
      <w:r>
        <w:rPr>
          <w:rFonts w:asciiTheme="minorHAnsi" w:hAnsiTheme="minorHAnsi" w:cs="Arial"/>
        </w:rPr>
        <w:t>3.11.2A(</w:t>
      </w:r>
      <w:proofErr w:type="gramEnd"/>
      <w:r>
        <w:rPr>
          <w:rFonts w:asciiTheme="minorHAnsi" w:hAnsiTheme="minorHAnsi" w:cs="Arial"/>
        </w:rPr>
        <w:t>b), 3.11.5(k), 3.11.10(a)</w:t>
      </w:r>
      <w:r w:rsidRPr="00666682">
        <w:rPr>
          <w:rFonts w:asciiTheme="minorHAnsi" w:hAnsiTheme="minorHAnsi" w:cs="Arial"/>
        </w:rPr>
        <w:t>.</w:t>
      </w:r>
    </w:p>
  </w:footnote>
  <w:footnote w:id="30">
    <w:p w14:paraId="62E69BC0" w14:textId="3A0801D8" w:rsidR="00C46246" w:rsidRDefault="00C46246" w:rsidP="00CB560D">
      <w:pPr>
        <w:pStyle w:val="FootnoteText"/>
      </w:pPr>
      <w:r>
        <w:rPr>
          <w:rStyle w:val="FootnoteReference"/>
        </w:rPr>
        <w:footnoteRef/>
      </w:r>
      <w:r>
        <w:t xml:space="preserve"> </w:t>
      </w:r>
      <w:r w:rsidRPr="00CC6FCF">
        <w:t>Electricity Industry (Wholesale Electricity Market) Regulations 2004</w:t>
      </w:r>
      <w:r>
        <w:t xml:space="preserve">, </w:t>
      </w:r>
      <w:r w:rsidRPr="00666682">
        <w:rPr>
          <w:i/>
        </w:rPr>
        <w:t>Wholesale Electricity Market Rules</w:t>
      </w:r>
      <w:r>
        <w:t>, 30 March 2020, rules 3.11.6; 3.11.2.</w:t>
      </w:r>
    </w:p>
  </w:footnote>
  <w:footnote w:id="31">
    <w:p w14:paraId="43F1FD0D" w14:textId="55F3E884" w:rsidR="00C46246" w:rsidRPr="00B07FB2" w:rsidRDefault="00C46246" w:rsidP="00CB560D">
      <w:pPr>
        <w:pStyle w:val="FootnoteText"/>
        <w:rPr>
          <w:rFonts w:ascii="Arial" w:hAnsi="Arial" w:cs="Arial"/>
        </w:rPr>
      </w:pPr>
      <w:r w:rsidRPr="00B07FB2">
        <w:rPr>
          <w:rStyle w:val="FootnoteReference"/>
          <w:rFonts w:ascii="Arial" w:hAnsi="Arial" w:cs="Arial"/>
        </w:rPr>
        <w:footnoteRef/>
      </w:r>
      <w:r w:rsidRPr="00B07FB2">
        <w:rPr>
          <w:rFonts w:ascii="Arial" w:hAnsi="Arial" w:cs="Arial"/>
        </w:rPr>
        <w:t xml:space="preserve"> </w:t>
      </w:r>
      <w:r>
        <w:rPr>
          <w:rFonts w:asciiTheme="minorHAnsi" w:hAnsiTheme="minorHAnsi"/>
        </w:rPr>
        <w:t>Power and Water Corporation</w:t>
      </w:r>
      <w:r>
        <w:t xml:space="preserve"> 2020</w:t>
      </w:r>
      <w:r w:rsidRPr="00666682">
        <w:rPr>
          <w:i/>
        </w:rPr>
        <w:t>, System Control Technical Code Version No. 6</w:t>
      </w:r>
      <w:r>
        <w:t xml:space="preserve">, March, </w:t>
      </w:r>
      <w:r>
        <w:rPr>
          <w:rFonts w:ascii="Arial" w:hAnsi="Arial" w:cs="Arial"/>
        </w:rPr>
        <w:t>section 5.1.</w:t>
      </w:r>
    </w:p>
  </w:footnote>
  <w:footnote w:id="32">
    <w:p w14:paraId="3585AF92" w14:textId="092BFE67" w:rsidR="00C46246" w:rsidRDefault="00C46246" w:rsidP="00CB560D">
      <w:pPr>
        <w:pStyle w:val="FootnoteText"/>
      </w:pPr>
      <w:r w:rsidRPr="00B07FB2">
        <w:rPr>
          <w:rStyle w:val="FootnoteReference"/>
          <w:rFonts w:ascii="Arial" w:hAnsi="Arial" w:cs="Arial"/>
        </w:rPr>
        <w:footnoteRef/>
      </w:r>
      <w:r w:rsidRPr="00B07FB2">
        <w:rPr>
          <w:rFonts w:ascii="Arial" w:hAnsi="Arial" w:cs="Arial"/>
        </w:rPr>
        <w:t xml:space="preserve"> </w:t>
      </w:r>
      <w:r>
        <w:rPr>
          <w:rFonts w:asciiTheme="minorHAnsi" w:hAnsiTheme="minorHAnsi"/>
        </w:rPr>
        <w:t>Power and Water Corporation</w:t>
      </w:r>
      <w:r>
        <w:t xml:space="preserve"> 2020</w:t>
      </w:r>
      <w:r w:rsidRPr="00666682">
        <w:rPr>
          <w:i/>
        </w:rPr>
        <w:t>, System Control Technical Code Version No. 6</w:t>
      </w:r>
      <w:r>
        <w:t xml:space="preserve">, March, </w:t>
      </w:r>
      <w:r>
        <w:rPr>
          <w:rFonts w:ascii="Arial" w:hAnsi="Arial" w:cs="Arial"/>
        </w:rPr>
        <w:t>section 5.</w:t>
      </w:r>
    </w:p>
  </w:footnote>
  <w:footnote w:id="33">
    <w:p w14:paraId="547D752B" w14:textId="0DEED1F1" w:rsidR="00C46246" w:rsidRDefault="00C46246">
      <w:pPr>
        <w:pStyle w:val="FootnoteText"/>
      </w:pPr>
      <w:r>
        <w:rPr>
          <w:rStyle w:val="FootnoteReference"/>
        </w:rPr>
        <w:footnoteRef/>
      </w:r>
      <w:r>
        <w:t xml:space="preserve"> </w:t>
      </w:r>
      <w:r>
        <w:rPr>
          <w:rFonts w:asciiTheme="minorHAnsi" w:hAnsiTheme="minorHAnsi"/>
        </w:rPr>
        <w:t>Power and Water Corporation</w:t>
      </w:r>
      <w:r>
        <w:t xml:space="preserve"> 2020, </w:t>
      </w:r>
      <w:r w:rsidRPr="00666682">
        <w:rPr>
          <w:i/>
        </w:rPr>
        <w:t>System Control Technical Code Version No. 6</w:t>
      </w:r>
      <w:r>
        <w:t xml:space="preserve">, March, section </w:t>
      </w:r>
      <w:proofErr w:type="gramStart"/>
      <w:r>
        <w:t>A6.11(</w:t>
      </w:r>
      <w:proofErr w:type="gramEnd"/>
      <w:r>
        <w:t>b).</w:t>
      </w:r>
    </w:p>
  </w:footnote>
  <w:footnote w:id="34">
    <w:p w14:paraId="64AD3154" w14:textId="77CB5EDA" w:rsidR="00C46246" w:rsidRDefault="00C46246">
      <w:pPr>
        <w:pStyle w:val="FootnoteText"/>
      </w:pPr>
      <w:r>
        <w:rPr>
          <w:rStyle w:val="FootnoteReference"/>
        </w:rPr>
        <w:footnoteRef/>
      </w:r>
      <w:r>
        <w:t xml:space="preserve"> </w:t>
      </w:r>
      <w:r>
        <w:rPr>
          <w:rFonts w:asciiTheme="minorHAnsi" w:hAnsiTheme="minorHAnsi"/>
        </w:rPr>
        <w:t>Power and Water Corporation</w:t>
      </w:r>
      <w:r w:rsidRPr="00666682">
        <w:rPr>
          <w:rFonts w:asciiTheme="minorHAnsi" w:hAnsiTheme="minorHAnsi"/>
        </w:rPr>
        <w:t xml:space="preserve"> 2020, </w:t>
      </w:r>
      <w:r w:rsidRPr="00666682">
        <w:rPr>
          <w:rFonts w:asciiTheme="minorHAnsi" w:hAnsiTheme="minorHAnsi"/>
          <w:i/>
        </w:rPr>
        <w:t>Network Technical Code and Planning Criteria Version No. 4</w:t>
      </w:r>
      <w:r w:rsidRPr="00666682">
        <w:rPr>
          <w:rFonts w:asciiTheme="minorHAnsi" w:hAnsiTheme="minorHAnsi"/>
        </w:rPr>
        <w:t>,</w:t>
      </w:r>
      <w:r>
        <w:rPr>
          <w:rFonts w:asciiTheme="minorHAnsi" w:hAnsiTheme="minorHAnsi"/>
        </w:rPr>
        <w:t xml:space="preserve"> March, clauses 3.3.5.11, 3.3.5.15</w:t>
      </w:r>
      <w:r w:rsidRPr="00666682">
        <w:rPr>
          <w:rFonts w:asciiTheme="minorHAnsi" w:hAnsiTheme="minorHAnsi"/>
        </w:rPr>
        <w:t>.</w:t>
      </w:r>
    </w:p>
  </w:footnote>
  <w:footnote w:id="35">
    <w:p w14:paraId="5AAA3437" w14:textId="5D5AED45" w:rsidR="00C46246" w:rsidRDefault="00C46246">
      <w:pPr>
        <w:pStyle w:val="FootnoteText"/>
      </w:pPr>
      <w:r>
        <w:rPr>
          <w:rStyle w:val="FootnoteReference"/>
        </w:rPr>
        <w:footnoteRef/>
      </w:r>
      <w:r>
        <w:t xml:space="preserve"> Utilities Commission 2020, </w:t>
      </w:r>
      <w:r w:rsidRPr="00D9724C">
        <w:rPr>
          <w:i/>
        </w:rPr>
        <w:t xml:space="preserve">Final Decision </w:t>
      </w:r>
      <w:r>
        <w:rPr>
          <w:i/>
        </w:rPr>
        <w:t>—</w:t>
      </w:r>
      <w:r w:rsidRPr="00D9724C">
        <w:rPr>
          <w:i/>
        </w:rPr>
        <w:t xml:space="preserve"> Power and Water Corporation’s Proposed Amendments to Code </w:t>
      </w:r>
      <w:r>
        <w:rPr>
          <w:i/>
        </w:rPr>
        <w:t>—</w:t>
      </w:r>
      <w:r w:rsidRPr="00D9724C">
        <w:rPr>
          <w:i/>
        </w:rPr>
        <w:t xml:space="preserve"> Generator Performance Standards</w:t>
      </w:r>
      <w:r>
        <w:t>, p. 8-9.</w:t>
      </w:r>
    </w:p>
  </w:footnote>
  <w:footnote w:id="36">
    <w:p w14:paraId="4B1FBC2B" w14:textId="55652787" w:rsidR="00C46246" w:rsidRDefault="00C46246">
      <w:pPr>
        <w:pStyle w:val="FootnoteText"/>
      </w:pPr>
      <w:r>
        <w:rPr>
          <w:rStyle w:val="FootnoteReference"/>
        </w:rPr>
        <w:footnoteRef/>
      </w:r>
      <w:r>
        <w:t xml:space="preserve"> </w:t>
      </w:r>
      <w:proofErr w:type="spellStart"/>
      <w:r>
        <w:t>Epuron</w:t>
      </w:r>
      <w:proofErr w:type="spellEnd"/>
      <w:r>
        <w:t xml:space="preserve"> 2020, </w:t>
      </w:r>
      <w:r w:rsidRPr="00074521">
        <w:rPr>
          <w:i/>
        </w:rPr>
        <w:t>Submission to Issues Paper</w:t>
      </w:r>
      <w:r>
        <w:t>, p. 3.</w:t>
      </w:r>
    </w:p>
  </w:footnote>
  <w:footnote w:id="37">
    <w:p w14:paraId="4E451BDF" w14:textId="20627FDD" w:rsidR="00C46246" w:rsidRDefault="00C46246">
      <w:pPr>
        <w:pStyle w:val="FootnoteText"/>
      </w:pPr>
      <w:r>
        <w:rPr>
          <w:rStyle w:val="FootnoteReference"/>
        </w:rPr>
        <w:footnoteRef/>
      </w:r>
      <w:r>
        <w:t xml:space="preserve"> Jacana Energy 2020, </w:t>
      </w:r>
      <w:r w:rsidRPr="00074521">
        <w:rPr>
          <w:i/>
        </w:rPr>
        <w:t>Submission to Issues Paper</w:t>
      </w:r>
      <w:r>
        <w:t>, p. 1.</w:t>
      </w:r>
    </w:p>
  </w:footnote>
  <w:footnote w:id="38">
    <w:p w14:paraId="42F5CEBC" w14:textId="4E26D1C6" w:rsidR="00C46246" w:rsidRDefault="00C46246">
      <w:pPr>
        <w:pStyle w:val="FootnoteText"/>
      </w:pPr>
      <w:r>
        <w:rPr>
          <w:rStyle w:val="FootnoteReference"/>
        </w:rPr>
        <w:footnoteRef/>
      </w:r>
      <w:r>
        <w:t xml:space="preserve"> Sun Cable 2020, </w:t>
      </w:r>
      <w:r w:rsidRPr="00074521">
        <w:rPr>
          <w:i/>
        </w:rPr>
        <w:t>Submission to Issues Paper</w:t>
      </w:r>
      <w:r>
        <w:t>, p. 6.</w:t>
      </w:r>
    </w:p>
  </w:footnote>
  <w:footnote w:id="39">
    <w:p w14:paraId="6FF4A903" w14:textId="1039AE21" w:rsidR="00C46246" w:rsidRDefault="00C46246">
      <w:pPr>
        <w:pStyle w:val="FootnoteText"/>
      </w:pPr>
      <w:r>
        <w:rPr>
          <w:rStyle w:val="FootnoteReference"/>
        </w:rPr>
        <w:footnoteRef/>
      </w:r>
      <w:r>
        <w:t xml:space="preserve"> Eni Australia 2020, </w:t>
      </w:r>
      <w:r w:rsidRPr="00074521">
        <w:rPr>
          <w:i/>
        </w:rPr>
        <w:t>Submission to Issues Paper</w:t>
      </w:r>
      <w:r>
        <w:t>, p. 9.</w:t>
      </w:r>
    </w:p>
  </w:footnote>
  <w:footnote w:id="40">
    <w:p w14:paraId="386C8B7B" w14:textId="77777777" w:rsidR="00C46246" w:rsidRDefault="00C46246" w:rsidP="00D37EFC">
      <w:pPr>
        <w:pStyle w:val="FootnoteText"/>
      </w:pPr>
      <w:r>
        <w:rPr>
          <w:rStyle w:val="FootnoteReference"/>
        </w:rPr>
        <w:footnoteRef/>
      </w:r>
      <w:r>
        <w:t xml:space="preserve"> Tasmanian Economic Regulator 2020, </w:t>
      </w:r>
      <w:r w:rsidRPr="009A52D5">
        <w:rPr>
          <w:i/>
        </w:rPr>
        <w:t>2010 Frequency Control Ancillary Services (FCAS) Investigation</w:t>
      </w:r>
      <w:r>
        <w:t xml:space="preserve">, </w:t>
      </w:r>
      <w:r w:rsidRPr="008218E4">
        <w:t>https://www.economicregulator.tas.gov.au/electricity/pricing/wholesale-pricing/frequency-control-ancillary-services-fcas/2010-frequency-control-ancillary-services-(fcas)-investigation</w:t>
      </w:r>
      <w:r>
        <w:t xml:space="preserve"> (accessed 1 June).</w:t>
      </w:r>
    </w:p>
  </w:footnote>
  <w:footnote w:id="41">
    <w:p w14:paraId="634A53AE" w14:textId="77777777" w:rsidR="00C46246" w:rsidRDefault="00C46246">
      <w:pPr>
        <w:pStyle w:val="FootnoteText"/>
      </w:pPr>
      <w:r>
        <w:rPr>
          <w:rStyle w:val="FootnoteReference"/>
        </w:rPr>
        <w:footnoteRef/>
      </w:r>
      <w:r>
        <w:t xml:space="preserve"> Utilities Commission 2015, </w:t>
      </w:r>
      <w:r w:rsidRPr="008218E4">
        <w:rPr>
          <w:i/>
        </w:rPr>
        <w:t>Approval of Amendments to the System Control Technical Code</w:t>
      </w:r>
      <w:r>
        <w:t>, May.</w:t>
      </w:r>
    </w:p>
  </w:footnote>
  <w:footnote w:id="42">
    <w:p w14:paraId="35793731" w14:textId="044D51ED" w:rsidR="00C46246" w:rsidRDefault="00C46246">
      <w:pPr>
        <w:pStyle w:val="FootnoteText"/>
      </w:pPr>
      <w:r>
        <w:rPr>
          <w:rStyle w:val="FootnoteReference"/>
        </w:rPr>
        <w:footnoteRef/>
      </w:r>
      <w:r>
        <w:t xml:space="preserve"> Utilities Commission 2020, </w:t>
      </w:r>
      <w:r w:rsidRPr="008218E4">
        <w:rPr>
          <w:i/>
        </w:rPr>
        <w:t xml:space="preserve">Generation licence application </w:t>
      </w:r>
      <w:r>
        <w:rPr>
          <w:i/>
        </w:rPr>
        <w:t>—</w:t>
      </w:r>
      <w:r w:rsidRPr="008218E4">
        <w:rPr>
          <w:i/>
        </w:rPr>
        <w:t xml:space="preserve"> RPS1101 Pty Ltd</w:t>
      </w:r>
      <w:r>
        <w:t xml:space="preserve">, </w:t>
      </w:r>
      <w:r w:rsidRPr="008218E4">
        <w:t>https://utilicom.nt.gov.au/projects/projects/Generation-licence-application-RPS1101-Pty-Ltd</w:t>
      </w:r>
      <w:r>
        <w:t xml:space="preserve"> (accessed 7 December).</w:t>
      </w:r>
    </w:p>
  </w:footnote>
  <w:footnote w:id="43">
    <w:p w14:paraId="76DC9208" w14:textId="1A8C2AE4" w:rsidR="00C46246" w:rsidRDefault="00C46246">
      <w:pPr>
        <w:pStyle w:val="FootnoteText"/>
      </w:pPr>
      <w:r>
        <w:rPr>
          <w:rStyle w:val="FootnoteReference"/>
        </w:rPr>
        <w:footnoteRef/>
      </w:r>
      <w:r>
        <w:t xml:space="preserve"> Eni Australia 2020, </w:t>
      </w:r>
      <w:r w:rsidRPr="00074521">
        <w:rPr>
          <w:i/>
        </w:rPr>
        <w:t>Submission to Issues Paper</w:t>
      </w:r>
      <w:r>
        <w:t>, p. 10.</w:t>
      </w:r>
    </w:p>
  </w:footnote>
  <w:footnote w:id="44">
    <w:p w14:paraId="6E009696" w14:textId="7DE43E10" w:rsidR="00C46246" w:rsidRDefault="00C46246">
      <w:pPr>
        <w:pStyle w:val="FootnoteText"/>
      </w:pPr>
      <w:r>
        <w:rPr>
          <w:rStyle w:val="FootnoteReference"/>
        </w:rPr>
        <w:footnoteRef/>
      </w:r>
      <w:r>
        <w:t xml:space="preserve"> T-Gen 2020, </w:t>
      </w:r>
      <w:r w:rsidRPr="00074521">
        <w:rPr>
          <w:i/>
        </w:rPr>
        <w:t>Submission to Issues Paper</w:t>
      </w:r>
      <w:r>
        <w:t>, p. 7.</w:t>
      </w:r>
    </w:p>
  </w:footnote>
  <w:footnote w:id="45">
    <w:p w14:paraId="061F70B4" w14:textId="00BB0BE7" w:rsidR="00C46246" w:rsidRDefault="00C46246">
      <w:pPr>
        <w:pStyle w:val="FootnoteText"/>
      </w:pPr>
      <w:r>
        <w:rPr>
          <w:rStyle w:val="FootnoteReference"/>
        </w:rPr>
        <w:footnoteRef/>
      </w:r>
      <w:r>
        <w:t xml:space="preserve"> Sun Cable 2020, </w:t>
      </w:r>
      <w:r w:rsidRPr="00074521">
        <w:rPr>
          <w:i/>
        </w:rPr>
        <w:t>Submission to Issues Paper</w:t>
      </w:r>
      <w:r>
        <w:t>, p. 9.</w:t>
      </w:r>
    </w:p>
  </w:footnote>
  <w:footnote w:id="46">
    <w:p w14:paraId="3C0C9141" w14:textId="22376483" w:rsidR="00C46246" w:rsidRDefault="00C46246">
      <w:pPr>
        <w:pStyle w:val="FootnoteText"/>
      </w:pPr>
      <w:r>
        <w:rPr>
          <w:rStyle w:val="FootnoteReference"/>
        </w:rPr>
        <w:footnoteRef/>
      </w:r>
      <w:r>
        <w:t xml:space="preserve"> </w:t>
      </w:r>
      <w:proofErr w:type="spellStart"/>
      <w:r>
        <w:t>Epuron</w:t>
      </w:r>
      <w:proofErr w:type="spellEnd"/>
      <w:r>
        <w:t xml:space="preserve"> 2020, </w:t>
      </w:r>
      <w:r w:rsidRPr="00074521">
        <w:rPr>
          <w:i/>
        </w:rPr>
        <w:t>Submission to Issues Paper</w:t>
      </w:r>
      <w:r>
        <w:t>, p. 4.</w:t>
      </w:r>
    </w:p>
  </w:footnote>
  <w:footnote w:id="47">
    <w:p w14:paraId="1D38D5D4" w14:textId="609ADB4D" w:rsidR="00C46246" w:rsidRDefault="00C46246">
      <w:pPr>
        <w:pStyle w:val="FootnoteText"/>
      </w:pPr>
      <w:r>
        <w:rPr>
          <w:rStyle w:val="FootnoteReference"/>
        </w:rPr>
        <w:footnoteRef/>
      </w:r>
      <w:r>
        <w:t xml:space="preserve"> T-Gen 2020, </w:t>
      </w:r>
      <w:r w:rsidRPr="00074521">
        <w:rPr>
          <w:i/>
        </w:rPr>
        <w:t>Submission to Issues Paper</w:t>
      </w:r>
      <w:r>
        <w:t>, p. 7.</w:t>
      </w:r>
    </w:p>
  </w:footnote>
  <w:footnote w:id="48">
    <w:p w14:paraId="4EA3DBE3" w14:textId="69DA4412" w:rsidR="00C46246" w:rsidRPr="0021322F" w:rsidRDefault="00C46246">
      <w:pPr>
        <w:pStyle w:val="FootnoteText"/>
        <w:rPr>
          <w:rFonts w:asciiTheme="minorHAnsi" w:hAnsiTheme="minorHAnsi"/>
        </w:rPr>
      </w:pPr>
      <w:r>
        <w:rPr>
          <w:rStyle w:val="FootnoteReference"/>
        </w:rPr>
        <w:footnoteRef/>
      </w:r>
      <w:r>
        <w:t xml:space="preserve"> </w:t>
      </w:r>
      <w:r w:rsidRPr="0021322F">
        <w:rPr>
          <w:rFonts w:asciiTheme="minorHAnsi" w:hAnsiTheme="minorHAnsi"/>
        </w:rPr>
        <w:t xml:space="preserve">Power and Water Corporation 2020, </w:t>
      </w:r>
      <w:r w:rsidRPr="0021322F">
        <w:rPr>
          <w:rFonts w:asciiTheme="minorHAnsi" w:hAnsiTheme="minorHAnsi"/>
          <w:i/>
        </w:rPr>
        <w:t>Market-related network information</w:t>
      </w:r>
      <w:r w:rsidRPr="0021322F">
        <w:rPr>
          <w:rFonts w:asciiTheme="minorHAnsi" w:hAnsiTheme="minorHAnsi"/>
        </w:rPr>
        <w:t xml:space="preserve">, </w:t>
      </w:r>
      <w:r w:rsidRPr="009A52D5">
        <w:rPr>
          <w:rFonts w:asciiTheme="minorHAnsi" w:hAnsiTheme="minorHAnsi"/>
        </w:rPr>
        <w:t>https://www.powerwater.com.au/market-operator/market-related-network-information</w:t>
      </w:r>
      <w:r w:rsidRPr="0021322F">
        <w:rPr>
          <w:rFonts w:asciiTheme="minorHAnsi" w:hAnsiTheme="minorHAnsi"/>
        </w:rPr>
        <w:t xml:space="preserve"> (accessed 29 May).</w:t>
      </w:r>
    </w:p>
  </w:footnote>
  <w:footnote w:id="49">
    <w:p w14:paraId="5E19F64E" w14:textId="77777777" w:rsidR="00C46246" w:rsidRPr="00B07FB2" w:rsidRDefault="00C46246" w:rsidP="002B30B3">
      <w:pPr>
        <w:pStyle w:val="FootnoteText"/>
        <w:rPr>
          <w:rFonts w:ascii="Arial" w:hAnsi="Arial" w:cs="Arial"/>
        </w:rPr>
      </w:pPr>
      <w:r w:rsidRPr="0021322F">
        <w:rPr>
          <w:rStyle w:val="FootnoteReference"/>
          <w:rFonts w:asciiTheme="minorHAnsi" w:hAnsiTheme="minorHAnsi" w:cs="Arial"/>
        </w:rPr>
        <w:footnoteRef/>
      </w:r>
      <w:r w:rsidRPr="0021322F">
        <w:rPr>
          <w:rFonts w:asciiTheme="minorHAnsi" w:hAnsiTheme="minorHAnsi" w:cs="Arial"/>
        </w:rPr>
        <w:t xml:space="preserve"> </w:t>
      </w:r>
      <w:r>
        <w:rPr>
          <w:rFonts w:asciiTheme="minorHAnsi" w:hAnsiTheme="minorHAnsi" w:cs="Arial"/>
        </w:rPr>
        <w:t>Australian Energy Market Operator</w:t>
      </w:r>
      <w:r w:rsidRPr="0021322F">
        <w:rPr>
          <w:rFonts w:asciiTheme="minorHAnsi" w:hAnsiTheme="minorHAnsi" w:cs="Arial"/>
        </w:rPr>
        <w:t xml:space="preserve"> 2020, </w:t>
      </w:r>
      <w:r w:rsidRPr="0021322F">
        <w:rPr>
          <w:rFonts w:asciiTheme="minorHAnsi" w:hAnsiTheme="minorHAnsi" w:cs="Arial"/>
          <w:i/>
        </w:rPr>
        <w:t>Settlements Guide to Ancillary Services Payment and Recove</w:t>
      </w:r>
      <w:r w:rsidRPr="0021322F">
        <w:rPr>
          <w:rFonts w:asciiTheme="minorHAnsi" w:hAnsiTheme="minorHAnsi" w:cs="Arial"/>
        </w:rPr>
        <w:t>ry, February.</w:t>
      </w:r>
    </w:p>
  </w:footnote>
  <w:footnote w:id="50">
    <w:p w14:paraId="31CB6DC7" w14:textId="77777777" w:rsidR="00C46246" w:rsidRDefault="00C46246" w:rsidP="00311B24">
      <w:pPr>
        <w:pStyle w:val="FootnoteText"/>
      </w:pPr>
      <w:r>
        <w:rPr>
          <w:rStyle w:val="FootnoteReference"/>
        </w:rPr>
        <w:footnoteRef/>
      </w:r>
      <w:r>
        <w:t xml:space="preserve"> Independent Market Operator 2012, </w:t>
      </w:r>
      <w:r w:rsidRPr="00D9724C">
        <w:rPr>
          <w:i/>
        </w:rPr>
        <w:t>Wholesale Electricity Market Design Summary</w:t>
      </w:r>
      <w:r>
        <w:t>, 24 October.</w:t>
      </w:r>
    </w:p>
  </w:footnote>
  <w:footnote w:id="51">
    <w:p w14:paraId="0A5C75C6" w14:textId="41509832" w:rsidR="00C46246" w:rsidRDefault="00C46246">
      <w:pPr>
        <w:pStyle w:val="FootnoteText"/>
      </w:pPr>
      <w:r>
        <w:rPr>
          <w:rStyle w:val="FootnoteReference"/>
        </w:rPr>
        <w:footnoteRef/>
      </w:r>
      <w:r>
        <w:t xml:space="preserve"> T-Gen 2020, </w:t>
      </w:r>
      <w:r w:rsidRPr="00074521">
        <w:rPr>
          <w:i/>
        </w:rPr>
        <w:t>Submission to Issues Paper</w:t>
      </w:r>
      <w:r>
        <w:t>, p. 8.</w:t>
      </w:r>
    </w:p>
  </w:footnote>
  <w:footnote w:id="52">
    <w:p w14:paraId="4F769A7E" w14:textId="65C64510" w:rsidR="00C46246" w:rsidRDefault="00C46246">
      <w:pPr>
        <w:pStyle w:val="FootnoteText"/>
      </w:pPr>
      <w:r>
        <w:rPr>
          <w:rStyle w:val="FootnoteReference"/>
        </w:rPr>
        <w:footnoteRef/>
      </w:r>
      <w:r>
        <w:t xml:space="preserve"> Eni Australia 2020, </w:t>
      </w:r>
      <w:r w:rsidRPr="00074521">
        <w:rPr>
          <w:i/>
        </w:rPr>
        <w:t>Submission to Issues Paper</w:t>
      </w:r>
      <w:r>
        <w:t>,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739D0" w14:textId="0AC53208" w:rsidR="00C46246" w:rsidRPr="008E0345" w:rsidRDefault="00FB2629" w:rsidP="005A5A44">
    <w:pPr>
      <w:pStyle w:val="Header"/>
    </w:pPr>
    <w:sdt>
      <w:sdtPr>
        <w:alias w:val="Title"/>
        <w:tag w:val=""/>
        <w:id w:val="-477918894"/>
        <w:placeholder>
          <w:docPart w:val="F79D73C68A4748CDB3E427EE38EB82CB"/>
        </w:placeholder>
        <w:dataBinding w:prefixMappings="xmlns:ns0='http://purl.org/dc/elements/1.1/' xmlns:ns1='http://schemas.openxmlformats.org/package/2006/metadata/core-properties' " w:xpath="/ns1:coreProperties[1]/ns0:title[1]" w:storeItemID="{6C3C8BC8-F283-45AE-878A-BAB7291924A1}"/>
        <w:text/>
      </w:sdtPr>
      <w:sdtEndPr/>
      <w:sdtContent>
        <w:r w:rsidR="00C46246">
          <w:t>NTEM Priority Reform Program: Review of essential system services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5FEF3" w14:textId="77777777" w:rsidR="00C46246" w:rsidRPr="00BD0F38" w:rsidRDefault="00C46246" w:rsidP="00A32EFF">
    <w:pPr>
      <w:tabs>
        <w:tab w:val="right" w:pos="10318"/>
      </w:tabs>
    </w:pPr>
    <w:r w:rsidRPr="00BD0F38">
      <w:rPr>
        <w:noProof/>
        <w:lang w:eastAsia="en-AU"/>
      </w:rPr>
      <w:drawing>
        <wp:anchor distT="0" distB="0" distL="0" distR="0" simplePos="0" relativeHeight="251657216" behindDoc="0" locked="0" layoutInCell="1" allowOverlap="1" wp14:anchorId="26576116" wp14:editId="01345712">
          <wp:simplePos x="0" y="0"/>
          <wp:positionH relativeFrom="page">
            <wp:align>left</wp:align>
          </wp:positionH>
          <wp:positionV relativeFrom="page">
            <wp:posOffset>3393830</wp:posOffset>
          </wp:positionV>
          <wp:extent cx="7553130" cy="5448285"/>
          <wp:effectExtent l="0" t="0" r="0" b="635"/>
          <wp:wrapTopAndBottom/>
          <wp:docPr id="6"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6A68" w14:textId="4A1D03CB" w:rsidR="00C46246" w:rsidRPr="004E7885" w:rsidRDefault="00FB2629" w:rsidP="004E7885">
    <w:pPr>
      <w:pStyle w:val="Header"/>
    </w:pPr>
    <w:sdt>
      <w:sdtPr>
        <w:alias w:val="Title"/>
        <w:tag w:val="Title"/>
        <w:id w:val="94911156"/>
        <w:lock w:val="sdtLocked"/>
        <w:placeholder>
          <w:docPart w:val="F79D73C68A4748CDB3E427EE38EB82CB"/>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C46246">
          <w:t>NTEM Priority Reform Program: Review of essential system services</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4622E" w14:textId="77777777" w:rsidR="00C46246" w:rsidRPr="00274F1C" w:rsidRDefault="00C46246"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001AD70A" w14:textId="56276700" w:rsidR="00C46246" w:rsidRPr="00964B22" w:rsidRDefault="00C46246" w:rsidP="008E0345">
        <w:pPr>
          <w:pStyle w:val="Header"/>
          <w:rPr>
            <w:b/>
          </w:rPr>
        </w:pPr>
        <w:r>
          <w:t>NTEM Priority Reform Program: Review of essential system services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0F08"/>
    <w:multiLevelType w:val="hybridMultilevel"/>
    <w:tmpl w:val="D7989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07F11A8"/>
    <w:multiLevelType w:val="hybridMultilevel"/>
    <w:tmpl w:val="F99A3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C0636E7"/>
    <w:multiLevelType w:val="hybridMultilevel"/>
    <w:tmpl w:val="EEDAD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07C7233"/>
    <w:multiLevelType w:val="hybridMultilevel"/>
    <w:tmpl w:val="CE6C9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3B458F8"/>
    <w:multiLevelType w:val="hybridMultilevel"/>
    <w:tmpl w:val="DE2E3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243C6B"/>
    <w:multiLevelType w:val="hybridMultilevel"/>
    <w:tmpl w:val="654CB56E"/>
    <w:lvl w:ilvl="0" w:tplc="E190E018">
      <w:start w:val="1"/>
      <w:numFmt w:val="bullet"/>
      <w:pStyle w:val="DashorBullet"/>
      <w:lvlText w:val=""/>
      <w:lvlJc w:val="left"/>
      <w:pPr>
        <w:ind w:left="720" w:hanging="360"/>
      </w:pPr>
      <w:rPr>
        <w:rFonts w:ascii="Symbol" w:hAnsi="Symbol" w:hint="default"/>
      </w:rPr>
    </w:lvl>
    <w:lvl w:ilvl="1" w:tplc="2D5C9F38">
      <w:start w:val="1"/>
      <w:numFmt w:val="bullet"/>
      <w:pStyle w:val="Dash"/>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D95C14"/>
    <w:multiLevelType w:val="hybridMultilevel"/>
    <w:tmpl w:val="0574ABD4"/>
    <w:lvl w:ilvl="0" w:tplc="6B4A86F6">
      <w:start w:val="1"/>
      <w:numFmt w:val="lowerRoman"/>
      <w:lvlText w:val="%1."/>
      <w:lvlJc w:val="left"/>
      <w:pPr>
        <w:ind w:left="1288" w:hanging="72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8" w15:restartNumberingAfterBreak="0">
    <w:nsid w:val="3BE61945"/>
    <w:multiLevelType w:val="multilevel"/>
    <w:tmpl w:val="3928FD02"/>
    <w:name w:val="NTG Table Bullet List332222222222222222"/>
    <w:numStyleLink w:val="Bulletlist"/>
  </w:abstractNum>
  <w:abstractNum w:abstractNumId="29" w15:restartNumberingAfterBreak="0">
    <w:nsid w:val="41192E3D"/>
    <w:multiLevelType w:val="hybridMultilevel"/>
    <w:tmpl w:val="3F564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013342"/>
    <w:multiLevelType w:val="hybridMultilevel"/>
    <w:tmpl w:val="764E0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3842BC6"/>
    <w:multiLevelType w:val="multilevel"/>
    <w:tmpl w:val="0C78A7AC"/>
    <w:numStyleLink w:val="Tablebulletlist"/>
  </w:abstractNum>
  <w:abstractNum w:abstractNumId="35" w15:restartNumberingAfterBreak="0">
    <w:nsid w:val="54434D88"/>
    <w:multiLevelType w:val="hybridMultilevel"/>
    <w:tmpl w:val="05C0F4CA"/>
    <w:lvl w:ilvl="0" w:tplc="0C090001">
      <w:start w:val="1"/>
      <w:numFmt w:val="bullet"/>
      <w:lvlText w:val=""/>
      <w:lvlJc w:val="left"/>
      <w:pPr>
        <w:ind w:left="770" w:hanging="360"/>
      </w:pPr>
      <w:rPr>
        <w:rFonts w:ascii="Symbol" w:hAnsi="Symbol" w:hint="default"/>
      </w:rPr>
    </w:lvl>
    <w:lvl w:ilvl="1" w:tplc="4CBC29D8">
      <w:numFmt w:val="bullet"/>
      <w:lvlText w:val="—"/>
      <w:lvlJc w:val="left"/>
      <w:pPr>
        <w:ind w:left="1490" w:hanging="360"/>
      </w:pPr>
      <w:rPr>
        <w:rFonts w:ascii="Lato" w:eastAsia="Calibri" w:hAnsi="Lato" w:cs="Arial"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4EF13D8"/>
    <w:multiLevelType w:val="hybridMultilevel"/>
    <w:tmpl w:val="E5E04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DA2CAE"/>
    <w:multiLevelType w:val="multilevel"/>
    <w:tmpl w:val="3E5E177A"/>
    <w:name w:val="NTG Table Bullet List332222222222222"/>
    <w:numStyleLink w:val="Tablenumberlist"/>
  </w:abstractNum>
  <w:abstractNum w:abstractNumId="39" w15:restartNumberingAfterBreak="0">
    <w:nsid w:val="583359D9"/>
    <w:multiLevelType w:val="multilevel"/>
    <w:tmpl w:val="3E5E177A"/>
    <w:name w:val="NTG Table Bullet List332222222"/>
    <w:numStyleLink w:val="Tablenumberlist"/>
  </w:abstractNum>
  <w:abstractNum w:abstractNumId="40" w15:restartNumberingAfterBreak="0">
    <w:nsid w:val="5B9A5FFE"/>
    <w:multiLevelType w:val="multilevel"/>
    <w:tmpl w:val="0C78A7AC"/>
    <w:name w:val="NTG Table Bullet List33222222222222"/>
    <w:numStyleLink w:val="Tablebulletlist"/>
  </w:abstractNum>
  <w:abstractNum w:abstractNumId="41" w15:restartNumberingAfterBreak="0">
    <w:nsid w:val="5D444259"/>
    <w:multiLevelType w:val="multilevel"/>
    <w:tmpl w:val="0C78A7AC"/>
    <w:name w:val="NTG Table Bullet List332222"/>
    <w:numStyleLink w:val="Tablebulletlist"/>
  </w:abstractNum>
  <w:abstractNum w:abstractNumId="42" w15:restartNumberingAfterBreak="0">
    <w:nsid w:val="679E6294"/>
    <w:multiLevelType w:val="hybridMultilevel"/>
    <w:tmpl w:val="244CC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262556"/>
    <w:multiLevelType w:val="multilevel"/>
    <w:tmpl w:val="3E5E177A"/>
    <w:name w:val="NTG Table Bullet List3322222222222222"/>
    <w:numStyleLink w:val="Tablenumberlist"/>
  </w:abstractNum>
  <w:abstractNum w:abstractNumId="44" w15:restartNumberingAfterBreak="0">
    <w:nsid w:val="6BD171D8"/>
    <w:multiLevelType w:val="hybridMultilevel"/>
    <w:tmpl w:val="7BF26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48120B"/>
    <w:multiLevelType w:val="hybridMultilevel"/>
    <w:tmpl w:val="E9589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53664D"/>
    <w:multiLevelType w:val="multilevel"/>
    <w:tmpl w:val="0C78A7AC"/>
    <w:name w:val="NTG Table Bullet List3322222222222222222"/>
    <w:numStyleLink w:val="Tablebulletlist"/>
  </w:abstractNum>
  <w:abstractNum w:abstractNumId="47" w15:restartNumberingAfterBreak="0">
    <w:nsid w:val="76141D1E"/>
    <w:multiLevelType w:val="multilevel"/>
    <w:tmpl w:val="0C78A7AC"/>
    <w:name w:val="NTG Table Bullet List332222222222"/>
    <w:numStyleLink w:val="Tablebulletlist"/>
  </w:abstractNum>
  <w:abstractNum w:abstractNumId="48" w15:restartNumberingAfterBreak="0">
    <w:nsid w:val="7812171C"/>
    <w:multiLevelType w:val="multilevel"/>
    <w:tmpl w:val="6A32939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0" w15:restartNumberingAfterBreak="0">
    <w:nsid w:val="7C8B261F"/>
    <w:multiLevelType w:val="hybridMultilevel"/>
    <w:tmpl w:val="76E81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4"/>
  </w:num>
  <w:num w:numId="2">
    <w:abstractNumId w:val="15"/>
  </w:num>
  <w:num w:numId="3">
    <w:abstractNumId w:val="49"/>
  </w:num>
  <w:num w:numId="4">
    <w:abstractNumId w:val="32"/>
  </w:num>
  <w:num w:numId="5">
    <w:abstractNumId w:val="20"/>
  </w:num>
  <w:num w:numId="6">
    <w:abstractNumId w:val="9"/>
  </w:num>
  <w:num w:numId="7">
    <w:abstractNumId w:val="34"/>
  </w:num>
  <w:num w:numId="8">
    <w:abstractNumId w:val="19"/>
  </w:num>
  <w:num w:numId="9">
    <w:abstractNumId w:val="25"/>
  </w:num>
  <w:num w:numId="10">
    <w:abstractNumId w:val="31"/>
  </w:num>
  <w:num w:numId="11">
    <w:abstractNumId w:val="14"/>
  </w:num>
  <w:num w:numId="12">
    <w:abstractNumId w:val="48"/>
  </w:num>
  <w:num w:numId="13">
    <w:abstractNumId w:val="45"/>
  </w:num>
  <w:num w:numId="14">
    <w:abstractNumId w:val="26"/>
  </w:num>
  <w:num w:numId="15">
    <w:abstractNumId w:val="35"/>
  </w:num>
  <w:num w:numId="16">
    <w:abstractNumId w:val="27"/>
  </w:num>
  <w:num w:numId="17">
    <w:abstractNumId w:val="44"/>
  </w:num>
  <w:num w:numId="18">
    <w:abstractNumId w:val="50"/>
  </w:num>
  <w:num w:numId="19">
    <w:abstractNumId w:val="16"/>
  </w:num>
  <w:num w:numId="20">
    <w:abstractNumId w:val="42"/>
  </w:num>
  <w:num w:numId="21">
    <w:abstractNumId w:val="12"/>
  </w:num>
  <w:num w:numId="22">
    <w:abstractNumId w:val="5"/>
  </w:num>
  <w:num w:numId="23">
    <w:abstractNumId w:val="29"/>
  </w:num>
  <w:num w:numId="24">
    <w:abstractNumId w:val="49"/>
  </w:num>
  <w:num w:numId="25">
    <w:abstractNumId w:val="49"/>
  </w:num>
  <w:num w:numId="26">
    <w:abstractNumId w:val="0"/>
  </w:num>
  <w:num w:numId="27">
    <w:abstractNumId w:val="49"/>
  </w:num>
  <w:num w:numId="28">
    <w:abstractNumId w:val="49"/>
  </w:num>
  <w:num w:numId="29">
    <w:abstractNumId w:val="37"/>
  </w:num>
  <w:num w:numId="30">
    <w:abstractNumId w:val="4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2B"/>
    <w:rsid w:val="00000648"/>
    <w:rsid w:val="00001DDF"/>
    <w:rsid w:val="000020F2"/>
    <w:rsid w:val="0000322D"/>
    <w:rsid w:val="00004A33"/>
    <w:rsid w:val="00006698"/>
    <w:rsid w:val="0000725F"/>
    <w:rsid w:val="00007670"/>
    <w:rsid w:val="00010665"/>
    <w:rsid w:val="00010903"/>
    <w:rsid w:val="000143D8"/>
    <w:rsid w:val="00015170"/>
    <w:rsid w:val="00020474"/>
    <w:rsid w:val="00021258"/>
    <w:rsid w:val="000238B4"/>
    <w:rsid w:val="0002393A"/>
    <w:rsid w:val="00023BA5"/>
    <w:rsid w:val="00023CD8"/>
    <w:rsid w:val="00023F7A"/>
    <w:rsid w:val="000262B5"/>
    <w:rsid w:val="0002739A"/>
    <w:rsid w:val="00027DB8"/>
    <w:rsid w:val="000307A7"/>
    <w:rsid w:val="00030B84"/>
    <w:rsid w:val="00031385"/>
    <w:rsid w:val="00031A96"/>
    <w:rsid w:val="00034A8D"/>
    <w:rsid w:val="00035CBD"/>
    <w:rsid w:val="000363A3"/>
    <w:rsid w:val="00040BF3"/>
    <w:rsid w:val="00041481"/>
    <w:rsid w:val="00041825"/>
    <w:rsid w:val="00042F24"/>
    <w:rsid w:val="00043938"/>
    <w:rsid w:val="00043A85"/>
    <w:rsid w:val="000448B0"/>
    <w:rsid w:val="0004562E"/>
    <w:rsid w:val="0004567C"/>
    <w:rsid w:val="00045749"/>
    <w:rsid w:val="000458F9"/>
    <w:rsid w:val="000469B0"/>
    <w:rsid w:val="00046C59"/>
    <w:rsid w:val="00050358"/>
    <w:rsid w:val="000509C6"/>
    <w:rsid w:val="00051362"/>
    <w:rsid w:val="00051F45"/>
    <w:rsid w:val="00051FCF"/>
    <w:rsid w:val="000524DD"/>
    <w:rsid w:val="00052953"/>
    <w:rsid w:val="0005341A"/>
    <w:rsid w:val="0005381A"/>
    <w:rsid w:val="000550C7"/>
    <w:rsid w:val="00056570"/>
    <w:rsid w:val="00056DEF"/>
    <w:rsid w:val="0006038E"/>
    <w:rsid w:val="00060FD6"/>
    <w:rsid w:val="00061868"/>
    <w:rsid w:val="00061ABD"/>
    <w:rsid w:val="000649BD"/>
    <w:rsid w:val="0006727A"/>
    <w:rsid w:val="00070A1D"/>
    <w:rsid w:val="000720BE"/>
    <w:rsid w:val="00072392"/>
    <w:rsid w:val="0007259C"/>
    <w:rsid w:val="00074521"/>
    <w:rsid w:val="000747E2"/>
    <w:rsid w:val="00074AE4"/>
    <w:rsid w:val="00075321"/>
    <w:rsid w:val="00075A22"/>
    <w:rsid w:val="00076023"/>
    <w:rsid w:val="00080202"/>
    <w:rsid w:val="000808B1"/>
    <w:rsid w:val="000808D2"/>
    <w:rsid w:val="00080DCD"/>
    <w:rsid w:val="00080E22"/>
    <w:rsid w:val="00082573"/>
    <w:rsid w:val="00083112"/>
    <w:rsid w:val="000840A3"/>
    <w:rsid w:val="00085062"/>
    <w:rsid w:val="0008616D"/>
    <w:rsid w:val="00086A5F"/>
    <w:rsid w:val="00090E99"/>
    <w:rsid w:val="00090FE7"/>
    <w:rsid w:val="0009119B"/>
    <w:rsid w:val="000911EF"/>
    <w:rsid w:val="000933B1"/>
    <w:rsid w:val="00094891"/>
    <w:rsid w:val="000962C5"/>
    <w:rsid w:val="000A0886"/>
    <w:rsid w:val="000A20FD"/>
    <w:rsid w:val="000A3063"/>
    <w:rsid w:val="000A4317"/>
    <w:rsid w:val="000A44F5"/>
    <w:rsid w:val="000A4C5A"/>
    <w:rsid w:val="000A559C"/>
    <w:rsid w:val="000A5BC3"/>
    <w:rsid w:val="000A6136"/>
    <w:rsid w:val="000A75FA"/>
    <w:rsid w:val="000B13B7"/>
    <w:rsid w:val="000B1C14"/>
    <w:rsid w:val="000B280D"/>
    <w:rsid w:val="000B2CA1"/>
    <w:rsid w:val="000B3D8A"/>
    <w:rsid w:val="000B5168"/>
    <w:rsid w:val="000B5720"/>
    <w:rsid w:val="000B605F"/>
    <w:rsid w:val="000B6DF3"/>
    <w:rsid w:val="000B6E48"/>
    <w:rsid w:val="000C00F1"/>
    <w:rsid w:val="000C15A8"/>
    <w:rsid w:val="000C177D"/>
    <w:rsid w:val="000C34AA"/>
    <w:rsid w:val="000C4DD8"/>
    <w:rsid w:val="000C6F9C"/>
    <w:rsid w:val="000C7530"/>
    <w:rsid w:val="000D00CD"/>
    <w:rsid w:val="000D1F29"/>
    <w:rsid w:val="000D4B46"/>
    <w:rsid w:val="000D53A6"/>
    <w:rsid w:val="000D633D"/>
    <w:rsid w:val="000E0962"/>
    <w:rsid w:val="000E1706"/>
    <w:rsid w:val="000E20BB"/>
    <w:rsid w:val="000E23CD"/>
    <w:rsid w:val="000E342B"/>
    <w:rsid w:val="000E38FB"/>
    <w:rsid w:val="000E5DD2"/>
    <w:rsid w:val="000E65DC"/>
    <w:rsid w:val="000F0BDB"/>
    <w:rsid w:val="000F154D"/>
    <w:rsid w:val="000F170C"/>
    <w:rsid w:val="000F2958"/>
    <w:rsid w:val="000F2B07"/>
    <w:rsid w:val="000F3335"/>
    <w:rsid w:val="000F4805"/>
    <w:rsid w:val="000F6A5C"/>
    <w:rsid w:val="000F7015"/>
    <w:rsid w:val="00100498"/>
    <w:rsid w:val="00100674"/>
    <w:rsid w:val="00104E7F"/>
    <w:rsid w:val="00105F3E"/>
    <w:rsid w:val="00107BC4"/>
    <w:rsid w:val="00107E82"/>
    <w:rsid w:val="00111474"/>
    <w:rsid w:val="001122DD"/>
    <w:rsid w:val="001127C9"/>
    <w:rsid w:val="001137EC"/>
    <w:rsid w:val="001138BE"/>
    <w:rsid w:val="00114709"/>
    <w:rsid w:val="001152F5"/>
    <w:rsid w:val="00117743"/>
    <w:rsid w:val="001179DA"/>
    <w:rsid w:val="00117CAB"/>
    <w:rsid w:val="00117F5B"/>
    <w:rsid w:val="00120FEB"/>
    <w:rsid w:val="0012120B"/>
    <w:rsid w:val="001214AA"/>
    <w:rsid w:val="00121A5D"/>
    <w:rsid w:val="00122343"/>
    <w:rsid w:val="001228FD"/>
    <w:rsid w:val="00122A61"/>
    <w:rsid w:val="00122BA6"/>
    <w:rsid w:val="001232C3"/>
    <w:rsid w:val="00123A5C"/>
    <w:rsid w:val="0012645B"/>
    <w:rsid w:val="00126AF9"/>
    <w:rsid w:val="001270C5"/>
    <w:rsid w:val="00127E81"/>
    <w:rsid w:val="00130F87"/>
    <w:rsid w:val="00131F40"/>
    <w:rsid w:val="0013238B"/>
    <w:rsid w:val="00132658"/>
    <w:rsid w:val="001344F6"/>
    <w:rsid w:val="00135270"/>
    <w:rsid w:val="00135EB3"/>
    <w:rsid w:val="00136A02"/>
    <w:rsid w:val="00136B64"/>
    <w:rsid w:val="001410F2"/>
    <w:rsid w:val="00145144"/>
    <w:rsid w:val="00146454"/>
    <w:rsid w:val="00147DED"/>
    <w:rsid w:val="00150DC0"/>
    <w:rsid w:val="001535CC"/>
    <w:rsid w:val="001541E4"/>
    <w:rsid w:val="00154622"/>
    <w:rsid w:val="00154790"/>
    <w:rsid w:val="00156272"/>
    <w:rsid w:val="00156CD4"/>
    <w:rsid w:val="00156FDF"/>
    <w:rsid w:val="00157749"/>
    <w:rsid w:val="00161CC6"/>
    <w:rsid w:val="001644F8"/>
    <w:rsid w:val="00164A3E"/>
    <w:rsid w:val="00166FF6"/>
    <w:rsid w:val="00167617"/>
    <w:rsid w:val="00170598"/>
    <w:rsid w:val="00172879"/>
    <w:rsid w:val="00172C77"/>
    <w:rsid w:val="00173137"/>
    <w:rsid w:val="001735A8"/>
    <w:rsid w:val="001751A6"/>
    <w:rsid w:val="00175350"/>
    <w:rsid w:val="00176123"/>
    <w:rsid w:val="00176876"/>
    <w:rsid w:val="00177AA5"/>
    <w:rsid w:val="00177E50"/>
    <w:rsid w:val="00181620"/>
    <w:rsid w:val="00183DF4"/>
    <w:rsid w:val="001847A1"/>
    <w:rsid w:val="00185A3F"/>
    <w:rsid w:val="00186F17"/>
    <w:rsid w:val="00190559"/>
    <w:rsid w:val="001913B5"/>
    <w:rsid w:val="001914E7"/>
    <w:rsid w:val="00192E08"/>
    <w:rsid w:val="00193DEB"/>
    <w:rsid w:val="001957AD"/>
    <w:rsid w:val="00196114"/>
    <w:rsid w:val="001A0EA6"/>
    <w:rsid w:val="001A1889"/>
    <w:rsid w:val="001A1CC9"/>
    <w:rsid w:val="001A2B7F"/>
    <w:rsid w:val="001A3AFD"/>
    <w:rsid w:val="001A496C"/>
    <w:rsid w:val="001A526C"/>
    <w:rsid w:val="001A6304"/>
    <w:rsid w:val="001A6692"/>
    <w:rsid w:val="001A7D91"/>
    <w:rsid w:val="001A7E21"/>
    <w:rsid w:val="001B2B6C"/>
    <w:rsid w:val="001B2FB8"/>
    <w:rsid w:val="001B3DF6"/>
    <w:rsid w:val="001B41E5"/>
    <w:rsid w:val="001C0CC1"/>
    <w:rsid w:val="001C1FB4"/>
    <w:rsid w:val="001C33C6"/>
    <w:rsid w:val="001C4C34"/>
    <w:rsid w:val="001C5968"/>
    <w:rsid w:val="001C5EB8"/>
    <w:rsid w:val="001C650F"/>
    <w:rsid w:val="001C69E5"/>
    <w:rsid w:val="001C6F37"/>
    <w:rsid w:val="001D01C4"/>
    <w:rsid w:val="001D0296"/>
    <w:rsid w:val="001D04C0"/>
    <w:rsid w:val="001D3A16"/>
    <w:rsid w:val="001D4635"/>
    <w:rsid w:val="001D52B0"/>
    <w:rsid w:val="001D5A18"/>
    <w:rsid w:val="001D5C9C"/>
    <w:rsid w:val="001D617F"/>
    <w:rsid w:val="001D6D86"/>
    <w:rsid w:val="001D6E37"/>
    <w:rsid w:val="001D7C0A"/>
    <w:rsid w:val="001D7CA4"/>
    <w:rsid w:val="001E02F0"/>
    <w:rsid w:val="001E057F"/>
    <w:rsid w:val="001E14EB"/>
    <w:rsid w:val="001E1D4D"/>
    <w:rsid w:val="001E2586"/>
    <w:rsid w:val="001E493E"/>
    <w:rsid w:val="001E554A"/>
    <w:rsid w:val="001E6B97"/>
    <w:rsid w:val="001E7871"/>
    <w:rsid w:val="001F0228"/>
    <w:rsid w:val="001F0E53"/>
    <w:rsid w:val="001F2B3D"/>
    <w:rsid w:val="001F501A"/>
    <w:rsid w:val="001F59E6"/>
    <w:rsid w:val="001F613E"/>
    <w:rsid w:val="001F7E15"/>
    <w:rsid w:val="002015C3"/>
    <w:rsid w:val="00202014"/>
    <w:rsid w:val="00202A2B"/>
    <w:rsid w:val="00206936"/>
    <w:rsid w:val="00206C6F"/>
    <w:rsid w:val="00206FBD"/>
    <w:rsid w:val="00207746"/>
    <w:rsid w:val="002115B2"/>
    <w:rsid w:val="0021245F"/>
    <w:rsid w:val="00212623"/>
    <w:rsid w:val="002130D5"/>
    <w:rsid w:val="0021322F"/>
    <w:rsid w:val="00213777"/>
    <w:rsid w:val="00213860"/>
    <w:rsid w:val="002138FD"/>
    <w:rsid w:val="00213F00"/>
    <w:rsid w:val="002170AB"/>
    <w:rsid w:val="00217FEB"/>
    <w:rsid w:val="00221220"/>
    <w:rsid w:val="00221618"/>
    <w:rsid w:val="00222483"/>
    <w:rsid w:val="002224B8"/>
    <w:rsid w:val="00222E58"/>
    <w:rsid w:val="00223DB3"/>
    <w:rsid w:val="002244F8"/>
    <w:rsid w:val="00224563"/>
    <w:rsid w:val="0022700F"/>
    <w:rsid w:val="00230031"/>
    <w:rsid w:val="00230B0D"/>
    <w:rsid w:val="00230CB3"/>
    <w:rsid w:val="002320BC"/>
    <w:rsid w:val="00234DAF"/>
    <w:rsid w:val="00235837"/>
    <w:rsid w:val="00235C01"/>
    <w:rsid w:val="002364A9"/>
    <w:rsid w:val="00236878"/>
    <w:rsid w:val="00237AC3"/>
    <w:rsid w:val="002458C7"/>
    <w:rsid w:val="0024591C"/>
    <w:rsid w:val="00247343"/>
    <w:rsid w:val="00247538"/>
    <w:rsid w:val="00253701"/>
    <w:rsid w:val="002547BC"/>
    <w:rsid w:val="00254B74"/>
    <w:rsid w:val="002577E7"/>
    <w:rsid w:val="0026035F"/>
    <w:rsid w:val="00263EA2"/>
    <w:rsid w:val="0026415E"/>
    <w:rsid w:val="0026424A"/>
    <w:rsid w:val="00264A66"/>
    <w:rsid w:val="00264C90"/>
    <w:rsid w:val="00265196"/>
    <w:rsid w:val="00265C56"/>
    <w:rsid w:val="002666C3"/>
    <w:rsid w:val="002715A8"/>
    <w:rsid w:val="002716CD"/>
    <w:rsid w:val="00272232"/>
    <w:rsid w:val="00272409"/>
    <w:rsid w:val="00272466"/>
    <w:rsid w:val="00274D4B"/>
    <w:rsid w:val="00275A79"/>
    <w:rsid w:val="00276BC2"/>
    <w:rsid w:val="00277577"/>
    <w:rsid w:val="002806F5"/>
    <w:rsid w:val="00281577"/>
    <w:rsid w:val="002819A2"/>
    <w:rsid w:val="002832ED"/>
    <w:rsid w:val="0028563F"/>
    <w:rsid w:val="002926BC"/>
    <w:rsid w:val="00293A72"/>
    <w:rsid w:val="00293D77"/>
    <w:rsid w:val="002A0160"/>
    <w:rsid w:val="002A281C"/>
    <w:rsid w:val="002A30C3"/>
    <w:rsid w:val="002A40DE"/>
    <w:rsid w:val="002A6F6A"/>
    <w:rsid w:val="002A7712"/>
    <w:rsid w:val="002B1E77"/>
    <w:rsid w:val="002B2210"/>
    <w:rsid w:val="002B2A04"/>
    <w:rsid w:val="002B30B3"/>
    <w:rsid w:val="002B37B5"/>
    <w:rsid w:val="002B38F7"/>
    <w:rsid w:val="002B4C0D"/>
    <w:rsid w:val="002B53E5"/>
    <w:rsid w:val="002B5591"/>
    <w:rsid w:val="002B6A6C"/>
    <w:rsid w:val="002B6AA4"/>
    <w:rsid w:val="002B7001"/>
    <w:rsid w:val="002B743A"/>
    <w:rsid w:val="002B76A7"/>
    <w:rsid w:val="002B7CE1"/>
    <w:rsid w:val="002C1761"/>
    <w:rsid w:val="002C1FE9"/>
    <w:rsid w:val="002C2CFC"/>
    <w:rsid w:val="002C4066"/>
    <w:rsid w:val="002C49F9"/>
    <w:rsid w:val="002C7315"/>
    <w:rsid w:val="002D1D27"/>
    <w:rsid w:val="002D2401"/>
    <w:rsid w:val="002D2FD2"/>
    <w:rsid w:val="002D3A3D"/>
    <w:rsid w:val="002D3A57"/>
    <w:rsid w:val="002D6CD2"/>
    <w:rsid w:val="002D78D8"/>
    <w:rsid w:val="002D7D05"/>
    <w:rsid w:val="002D7D68"/>
    <w:rsid w:val="002E0A98"/>
    <w:rsid w:val="002E15F8"/>
    <w:rsid w:val="002E20C8"/>
    <w:rsid w:val="002E3C79"/>
    <w:rsid w:val="002E4290"/>
    <w:rsid w:val="002E4D6E"/>
    <w:rsid w:val="002E547F"/>
    <w:rsid w:val="002E5B94"/>
    <w:rsid w:val="002E66A6"/>
    <w:rsid w:val="002E7034"/>
    <w:rsid w:val="002E795E"/>
    <w:rsid w:val="002F0DB1"/>
    <w:rsid w:val="002F2885"/>
    <w:rsid w:val="002F3CF1"/>
    <w:rsid w:val="002F45A1"/>
    <w:rsid w:val="002F4646"/>
    <w:rsid w:val="002F596F"/>
    <w:rsid w:val="002F606F"/>
    <w:rsid w:val="002F64A1"/>
    <w:rsid w:val="0030137D"/>
    <w:rsid w:val="00302CB3"/>
    <w:rsid w:val="00303106"/>
    <w:rsid w:val="003037F9"/>
    <w:rsid w:val="00305362"/>
    <w:rsid w:val="0030583E"/>
    <w:rsid w:val="00305A87"/>
    <w:rsid w:val="00307FE1"/>
    <w:rsid w:val="00311B24"/>
    <w:rsid w:val="00312857"/>
    <w:rsid w:val="00313361"/>
    <w:rsid w:val="00313F6F"/>
    <w:rsid w:val="0031420C"/>
    <w:rsid w:val="00314E92"/>
    <w:rsid w:val="00314F80"/>
    <w:rsid w:val="003164BA"/>
    <w:rsid w:val="003164BF"/>
    <w:rsid w:val="00317B0C"/>
    <w:rsid w:val="00320A0D"/>
    <w:rsid w:val="0032116A"/>
    <w:rsid w:val="003216EA"/>
    <w:rsid w:val="003223FE"/>
    <w:rsid w:val="00324080"/>
    <w:rsid w:val="003250B6"/>
    <w:rsid w:val="003251D0"/>
    <w:rsid w:val="003258E6"/>
    <w:rsid w:val="00326298"/>
    <w:rsid w:val="00326E35"/>
    <w:rsid w:val="00327081"/>
    <w:rsid w:val="00327B77"/>
    <w:rsid w:val="00327FE8"/>
    <w:rsid w:val="00330998"/>
    <w:rsid w:val="00330F3E"/>
    <w:rsid w:val="003310FE"/>
    <w:rsid w:val="00331760"/>
    <w:rsid w:val="003320A8"/>
    <w:rsid w:val="003324A4"/>
    <w:rsid w:val="0033487B"/>
    <w:rsid w:val="003359AC"/>
    <w:rsid w:val="00335FC8"/>
    <w:rsid w:val="00336CE3"/>
    <w:rsid w:val="00336F2E"/>
    <w:rsid w:val="00337673"/>
    <w:rsid w:val="00341708"/>
    <w:rsid w:val="00342283"/>
    <w:rsid w:val="003425F4"/>
    <w:rsid w:val="00343A87"/>
    <w:rsid w:val="0034460A"/>
    <w:rsid w:val="00344A36"/>
    <w:rsid w:val="00344D07"/>
    <w:rsid w:val="00344F1A"/>
    <w:rsid w:val="003456F4"/>
    <w:rsid w:val="00345BDC"/>
    <w:rsid w:val="00347631"/>
    <w:rsid w:val="00347FB6"/>
    <w:rsid w:val="0035005A"/>
    <w:rsid w:val="0035036C"/>
    <w:rsid w:val="003504FD"/>
    <w:rsid w:val="00350881"/>
    <w:rsid w:val="0035255F"/>
    <w:rsid w:val="00353513"/>
    <w:rsid w:val="00353C2D"/>
    <w:rsid w:val="0035542F"/>
    <w:rsid w:val="00355876"/>
    <w:rsid w:val="00355D8D"/>
    <w:rsid w:val="003579A1"/>
    <w:rsid w:val="00357D55"/>
    <w:rsid w:val="003610FB"/>
    <w:rsid w:val="003617DA"/>
    <w:rsid w:val="00361DDC"/>
    <w:rsid w:val="00363513"/>
    <w:rsid w:val="003657E5"/>
    <w:rsid w:val="0036589C"/>
    <w:rsid w:val="00370AD9"/>
    <w:rsid w:val="00371312"/>
    <w:rsid w:val="00371DC7"/>
    <w:rsid w:val="00372925"/>
    <w:rsid w:val="00373BFF"/>
    <w:rsid w:val="00374086"/>
    <w:rsid w:val="003749F9"/>
    <w:rsid w:val="003765C6"/>
    <w:rsid w:val="00376BF0"/>
    <w:rsid w:val="00377B21"/>
    <w:rsid w:val="00381443"/>
    <w:rsid w:val="00384855"/>
    <w:rsid w:val="00384A16"/>
    <w:rsid w:val="00385E06"/>
    <w:rsid w:val="00387621"/>
    <w:rsid w:val="00390CE3"/>
    <w:rsid w:val="003926E3"/>
    <w:rsid w:val="00392971"/>
    <w:rsid w:val="003932A0"/>
    <w:rsid w:val="003944DB"/>
    <w:rsid w:val="00394876"/>
    <w:rsid w:val="00394AAF"/>
    <w:rsid w:val="00394CE5"/>
    <w:rsid w:val="003A1617"/>
    <w:rsid w:val="003A4327"/>
    <w:rsid w:val="003A4F3E"/>
    <w:rsid w:val="003A628E"/>
    <w:rsid w:val="003A6341"/>
    <w:rsid w:val="003B0886"/>
    <w:rsid w:val="003B0B44"/>
    <w:rsid w:val="003B173F"/>
    <w:rsid w:val="003B1810"/>
    <w:rsid w:val="003B21C2"/>
    <w:rsid w:val="003B27A6"/>
    <w:rsid w:val="003B3FA3"/>
    <w:rsid w:val="003B67FD"/>
    <w:rsid w:val="003B69DA"/>
    <w:rsid w:val="003B6A61"/>
    <w:rsid w:val="003B7873"/>
    <w:rsid w:val="003B79B3"/>
    <w:rsid w:val="003C0FB3"/>
    <w:rsid w:val="003C11F7"/>
    <w:rsid w:val="003C293B"/>
    <w:rsid w:val="003C438F"/>
    <w:rsid w:val="003C54CD"/>
    <w:rsid w:val="003C55A9"/>
    <w:rsid w:val="003C6064"/>
    <w:rsid w:val="003C6A58"/>
    <w:rsid w:val="003C7C18"/>
    <w:rsid w:val="003D0862"/>
    <w:rsid w:val="003D1D72"/>
    <w:rsid w:val="003D2E5E"/>
    <w:rsid w:val="003D3850"/>
    <w:rsid w:val="003D3A1E"/>
    <w:rsid w:val="003D3B35"/>
    <w:rsid w:val="003D42C0"/>
    <w:rsid w:val="003D5B29"/>
    <w:rsid w:val="003D7818"/>
    <w:rsid w:val="003D7F3F"/>
    <w:rsid w:val="003E0798"/>
    <w:rsid w:val="003E215B"/>
    <w:rsid w:val="003E2445"/>
    <w:rsid w:val="003E2498"/>
    <w:rsid w:val="003E319D"/>
    <w:rsid w:val="003E3BB2"/>
    <w:rsid w:val="003E3CDF"/>
    <w:rsid w:val="003E425B"/>
    <w:rsid w:val="003E4CDB"/>
    <w:rsid w:val="003E5791"/>
    <w:rsid w:val="003E606A"/>
    <w:rsid w:val="003F1C30"/>
    <w:rsid w:val="003F2C45"/>
    <w:rsid w:val="003F3E07"/>
    <w:rsid w:val="003F4A31"/>
    <w:rsid w:val="003F5B58"/>
    <w:rsid w:val="003F61A2"/>
    <w:rsid w:val="003F6B61"/>
    <w:rsid w:val="003F6DAB"/>
    <w:rsid w:val="00401032"/>
    <w:rsid w:val="00401755"/>
    <w:rsid w:val="0040222A"/>
    <w:rsid w:val="00402E4D"/>
    <w:rsid w:val="004047BC"/>
    <w:rsid w:val="00405D39"/>
    <w:rsid w:val="00406497"/>
    <w:rsid w:val="00406969"/>
    <w:rsid w:val="00407CFD"/>
    <w:rsid w:val="004100F7"/>
    <w:rsid w:val="004106E5"/>
    <w:rsid w:val="00412503"/>
    <w:rsid w:val="00412523"/>
    <w:rsid w:val="00412B1D"/>
    <w:rsid w:val="004135D3"/>
    <w:rsid w:val="00414CB3"/>
    <w:rsid w:val="0041563D"/>
    <w:rsid w:val="00417E19"/>
    <w:rsid w:val="00420CF5"/>
    <w:rsid w:val="00422232"/>
    <w:rsid w:val="00422874"/>
    <w:rsid w:val="004240B4"/>
    <w:rsid w:val="00426E25"/>
    <w:rsid w:val="004274BD"/>
    <w:rsid w:val="00427D9C"/>
    <w:rsid w:val="00427E7E"/>
    <w:rsid w:val="00430CFD"/>
    <w:rsid w:val="0043111E"/>
    <w:rsid w:val="00431C31"/>
    <w:rsid w:val="0043201B"/>
    <w:rsid w:val="00434C8D"/>
    <w:rsid w:val="00435FAB"/>
    <w:rsid w:val="004372DE"/>
    <w:rsid w:val="00442E90"/>
    <w:rsid w:val="004433AE"/>
    <w:rsid w:val="00443B6E"/>
    <w:rsid w:val="0044403F"/>
    <w:rsid w:val="00447C2F"/>
    <w:rsid w:val="00447C97"/>
    <w:rsid w:val="00450CD8"/>
    <w:rsid w:val="0045103C"/>
    <w:rsid w:val="004518C0"/>
    <w:rsid w:val="004521CB"/>
    <w:rsid w:val="004522AE"/>
    <w:rsid w:val="00453288"/>
    <w:rsid w:val="0045420A"/>
    <w:rsid w:val="004554D4"/>
    <w:rsid w:val="00455903"/>
    <w:rsid w:val="00457258"/>
    <w:rsid w:val="00460F8F"/>
    <w:rsid w:val="004614F1"/>
    <w:rsid w:val="00461744"/>
    <w:rsid w:val="00461C79"/>
    <w:rsid w:val="00462D03"/>
    <w:rsid w:val="00464C55"/>
    <w:rsid w:val="00464DBB"/>
    <w:rsid w:val="00465555"/>
    <w:rsid w:val="00465717"/>
    <w:rsid w:val="00466185"/>
    <w:rsid w:val="004664AD"/>
    <w:rsid w:val="004668A7"/>
    <w:rsid w:val="00466D96"/>
    <w:rsid w:val="00467747"/>
    <w:rsid w:val="004732EF"/>
    <w:rsid w:val="00473C98"/>
    <w:rsid w:val="00473D1F"/>
    <w:rsid w:val="00474965"/>
    <w:rsid w:val="00475750"/>
    <w:rsid w:val="00482DF8"/>
    <w:rsid w:val="00483E56"/>
    <w:rsid w:val="004864DE"/>
    <w:rsid w:val="004878F5"/>
    <w:rsid w:val="00490022"/>
    <w:rsid w:val="0049007A"/>
    <w:rsid w:val="00490D7C"/>
    <w:rsid w:val="0049274B"/>
    <w:rsid w:val="00494BE5"/>
    <w:rsid w:val="004952FD"/>
    <w:rsid w:val="0049588B"/>
    <w:rsid w:val="004A00EE"/>
    <w:rsid w:val="004A0CE5"/>
    <w:rsid w:val="004A0EBA"/>
    <w:rsid w:val="004A2538"/>
    <w:rsid w:val="004A6A59"/>
    <w:rsid w:val="004A764E"/>
    <w:rsid w:val="004B0C15"/>
    <w:rsid w:val="004B177A"/>
    <w:rsid w:val="004B35EA"/>
    <w:rsid w:val="004B5B4B"/>
    <w:rsid w:val="004B61FB"/>
    <w:rsid w:val="004B69E4"/>
    <w:rsid w:val="004B6B4C"/>
    <w:rsid w:val="004B7373"/>
    <w:rsid w:val="004B74CA"/>
    <w:rsid w:val="004B77A5"/>
    <w:rsid w:val="004C0201"/>
    <w:rsid w:val="004C1403"/>
    <w:rsid w:val="004C157A"/>
    <w:rsid w:val="004C2707"/>
    <w:rsid w:val="004C2BF4"/>
    <w:rsid w:val="004C3270"/>
    <w:rsid w:val="004C32B1"/>
    <w:rsid w:val="004C3E9C"/>
    <w:rsid w:val="004C5A9A"/>
    <w:rsid w:val="004C6C39"/>
    <w:rsid w:val="004D075F"/>
    <w:rsid w:val="004D0D10"/>
    <w:rsid w:val="004D1B76"/>
    <w:rsid w:val="004D344E"/>
    <w:rsid w:val="004D3CDC"/>
    <w:rsid w:val="004D52F5"/>
    <w:rsid w:val="004D663C"/>
    <w:rsid w:val="004E019E"/>
    <w:rsid w:val="004E0214"/>
    <w:rsid w:val="004E06EC"/>
    <w:rsid w:val="004E0FD7"/>
    <w:rsid w:val="004E1477"/>
    <w:rsid w:val="004E1B07"/>
    <w:rsid w:val="004E2CB7"/>
    <w:rsid w:val="004E31D1"/>
    <w:rsid w:val="004E3914"/>
    <w:rsid w:val="004E5E77"/>
    <w:rsid w:val="004E6AAF"/>
    <w:rsid w:val="004E7240"/>
    <w:rsid w:val="004E7885"/>
    <w:rsid w:val="004F016A"/>
    <w:rsid w:val="004F01CC"/>
    <w:rsid w:val="004F20ED"/>
    <w:rsid w:val="004F2206"/>
    <w:rsid w:val="004F29FC"/>
    <w:rsid w:val="004F6DC5"/>
    <w:rsid w:val="004F7846"/>
    <w:rsid w:val="00500F94"/>
    <w:rsid w:val="00501DC3"/>
    <w:rsid w:val="00501EF7"/>
    <w:rsid w:val="00502FB3"/>
    <w:rsid w:val="00503CEB"/>
    <w:rsid w:val="00503DE9"/>
    <w:rsid w:val="0050530C"/>
    <w:rsid w:val="00505DEA"/>
    <w:rsid w:val="0050691A"/>
    <w:rsid w:val="00507782"/>
    <w:rsid w:val="00511C43"/>
    <w:rsid w:val="00511EA0"/>
    <w:rsid w:val="00512A04"/>
    <w:rsid w:val="00512FC8"/>
    <w:rsid w:val="00513E2C"/>
    <w:rsid w:val="00514277"/>
    <w:rsid w:val="005158FB"/>
    <w:rsid w:val="00515BBE"/>
    <w:rsid w:val="00516232"/>
    <w:rsid w:val="005164DD"/>
    <w:rsid w:val="005208EA"/>
    <w:rsid w:val="00522241"/>
    <w:rsid w:val="00522360"/>
    <w:rsid w:val="00523EFA"/>
    <w:rsid w:val="005249F5"/>
    <w:rsid w:val="005250B2"/>
    <w:rsid w:val="005260F7"/>
    <w:rsid w:val="005308E5"/>
    <w:rsid w:val="00536C47"/>
    <w:rsid w:val="00540757"/>
    <w:rsid w:val="005412F9"/>
    <w:rsid w:val="005425F1"/>
    <w:rsid w:val="00542685"/>
    <w:rsid w:val="005428F8"/>
    <w:rsid w:val="005434E4"/>
    <w:rsid w:val="00543BD1"/>
    <w:rsid w:val="00546D7E"/>
    <w:rsid w:val="005518D7"/>
    <w:rsid w:val="005550A2"/>
    <w:rsid w:val="005558B7"/>
    <w:rsid w:val="00556113"/>
    <w:rsid w:val="005577E9"/>
    <w:rsid w:val="00557895"/>
    <w:rsid w:val="00561F27"/>
    <w:rsid w:val="0056208B"/>
    <w:rsid w:val="00563BE0"/>
    <w:rsid w:val="00564C12"/>
    <w:rsid w:val="00564ED7"/>
    <w:rsid w:val="0056525F"/>
    <w:rsid w:val="005654B8"/>
    <w:rsid w:val="0056586C"/>
    <w:rsid w:val="00566292"/>
    <w:rsid w:val="00567A66"/>
    <w:rsid w:val="00570100"/>
    <w:rsid w:val="00570803"/>
    <w:rsid w:val="00570E55"/>
    <w:rsid w:val="005715AA"/>
    <w:rsid w:val="0057209D"/>
    <w:rsid w:val="005722AC"/>
    <w:rsid w:val="0057377F"/>
    <w:rsid w:val="00575B97"/>
    <w:rsid w:val="00575D98"/>
    <w:rsid w:val="005762CC"/>
    <w:rsid w:val="00576BF5"/>
    <w:rsid w:val="00576CFE"/>
    <w:rsid w:val="00580494"/>
    <w:rsid w:val="00580EDF"/>
    <w:rsid w:val="00582D3D"/>
    <w:rsid w:val="00582D40"/>
    <w:rsid w:val="005831E5"/>
    <w:rsid w:val="00583889"/>
    <w:rsid w:val="005858AB"/>
    <w:rsid w:val="00586102"/>
    <w:rsid w:val="00590D08"/>
    <w:rsid w:val="00590FA5"/>
    <w:rsid w:val="00591C2F"/>
    <w:rsid w:val="00594BC5"/>
    <w:rsid w:val="00595386"/>
    <w:rsid w:val="005953B0"/>
    <w:rsid w:val="0059694D"/>
    <w:rsid w:val="00597765"/>
    <w:rsid w:val="005A3107"/>
    <w:rsid w:val="005A3621"/>
    <w:rsid w:val="005A4AC0"/>
    <w:rsid w:val="005A5108"/>
    <w:rsid w:val="005A598D"/>
    <w:rsid w:val="005A5A44"/>
    <w:rsid w:val="005A5FDF"/>
    <w:rsid w:val="005A6416"/>
    <w:rsid w:val="005B0A72"/>
    <w:rsid w:val="005B0FB7"/>
    <w:rsid w:val="005B122A"/>
    <w:rsid w:val="005B2AF4"/>
    <w:rsid w:val="005B2C28"/>
    <w:rsid w:val="005B4776"/>
    <w:rsid w:val="005B4C8F"/>
    <w:rsid w:val="005B55DD"/>
    <w:rsid w:val="005B5AC2"/>
    <w:rsid w:val="005B6075"/>
    <w:rsid w:val="005B7001"/>
    <w:rsid w:val="005C1BEF"/>
    <w:rsid w:val="005C2833"/>
    <w:rsid w:val="005C2B0E"/>
    <w:rsid w:val="005C33F7"/>
    <w:rsid w:val="005C3583"/>
    <w:rsid w:val="005C4BB4"/>
    <w:rsid w:val="005C6F57"/>
    <w:rsid w:val="005C71B5"/>
    <w:rsid w:val="005C76D3"/>
    <w:rsid w:val="005D128D"/>
    <w:rsid w:val="005D1754"/>
    <w:rsid w:val="005D3173"/>
    <w:rsid w:val="005D5E09"/>
    <w:rsid w:val="005D6811"/>
    <w:rsid w:val="005E144D"/>
    <w:rsid w:val="005E1500"/>
    <w:rsid w:val="005E3A43"/>
    <w:rsid w:val="005E3CF2"/>
    <w:rsid w:val="005E3F3D"/>
    <w:rsid w:val="005E51A4"/>
    <w:rsid w:val="005E5ECE"/>
    <w:rsid w:val="005E79A0"/>
    <w:rsid w:val="005F0C7C"/>
    <w:rsid w:val="005F2AFD"/>
    <w:rsid w:val="005F331E"/>
    <w:rsid w:val="005F3D43"/>
    <w:rsid w:val="005F5E43"/>
    <w:rsid w:val="005F67BC"/>
    <w:rsid w:val="005F77C7"/>
    <w:rsid w:val="00600B54"/>
    <w:rsid w:val="0060475C"/>
    <w:rsid w:val="0060554B"/>
    <w:rsid w:val="00607C91"/>
    <w:rsid w:val="00610657"/>
    <w:rsid w:val="00611F6D"/>
    <w:rsid w:val="006120E5"/>
    <w:rsid w:val="00613931"/>
    <w:rsid w:val="00614243"/>
    <w:rsid w:val="00620675"/>
    <w:rsid w:val="00621A4F"/>
    <w:rsid w:val="00621F11"/>
    <w:rsid w:val="00622153"/>
    <w:rsid w:val="0062248C"/>
    <w:rsid w:val="00622910"/>
    <w:rsid w:val="00622D5B"/>
    <w:rsid w:val="00622E24"/>
    <w:rsid w:val="006234EF"/>
    <w:rsid w:val="006245DF"/>
    <w:rsid w:val="0062480B"/>
    <w:rsid w:val="006260BF"/>
    <w:rsid w:val="0062633C"/>
    <w:rsid w:val="00630F2B"/>
    <w:rsid w:val="00631CC3"/>
    <w:rsid w:val="00634F85"/>
    <w:rsid w:val="0063595A"/>
    <w:rsid w:val="0063601B"/>
    <w:rsid w:val="00641B39"/>
    <w:rsid w:val="006430D7"/>
    <w:rsid w:val="006433C3"/>
    <w:rsid w:val="00644EEA"/>
    <w:rsid w:val="00645057"/>
    <w:rsid w:val="0064577E"/>
    <w:rsid w:val="00647669"/>
    <w:rsid w:val="00647A30"/>
    <w:rsid w:val="00650F5B"/>
    <w:rsid w:val="006514DC"/>
    <w:rsid w:val="00652CFF"/>
    <w:rsid w:val="00652DC0"/>
    <w:rsid w:val="00653609"/>
    <w:rsid w:val="00654257"/>
    <w:rsid w:val="0065773E"/>
    <w:rsid w:val="00657CC1"/>
    <w:rsid w:val="00657EBD"/>
    <w:rsid w:val="00660584"/>
    <w:rsid w:val="00660DDB"/>
    <w:rsid w:val="0066337F"/>
    <w:rsid w:val="006670D7"/>
    <w:rsid w:val="00667797"/>
    <w:rsid w:val="006719EA"/>
    <w:rsid w:val="00671F13"/>
    <w:rsid w:val="0067232A"/>
    <w:rsid w:val="006726B8"/>
    <w:rsid w:val="0067363B"/>
    <w:rsid w:val="0067400A"/>
    <w:rsid w:val="006747E0"/>
    <w:rsid w:val="00674923"/>
    <w:rsid w:val="0067632C"/>
    <w:rsid w:val="00677A77"/>
    <w:rsid w:val="00682F49"/>
    <w:rsid w:val="00683346"/>
    <w:rsid w:val="006847AD"/>
    <w:rsid w:val="0069114B"/>
    <w:rsid w:val="006936B1"/>
    <w:rsid w:val="006953F1"/>
    <w:rsid w:val="006A0107"/>
    <w:rsid w:val="006A106D"/>
    <w:rsid w:val="006A2765"/>
    <w:rsid w:val="006A3038"/>
    <w:rsid w:val="006A6BFC"/>
    <w:rsid w:val="006A6F0F"/>
    <w:rsid w:val="006A704A"/>
    <w:rsid w:val="006A756A"/>
    <w:rsid w:val="006B0822"/>
    <w:rsid w:val="006B296C"/>
    <w:rsid w:val="006B37E8"/>
    <w:rsid w:val="006B4AB0"/>
    <w:rsid w:val="006B5282"/>
    <w:rsid w:val="006C0881"/>
    <w:rsid w:val="006C396A"/>
    <w:rsid w:val="006C581F"/>
    <w:rsid w:val="006D0739"/>
    <w:rsid w:val="006D1863"/>
    <w:rsid w:val="006D1ADA"/>
    <w:rsid w:val="006D1B78"/>
    <w:rsid w:val="006D21BB"/>
    <w:rsid w:val="006D2723"/>
    <w:rsid w:val="006D2BC6"/>
    <w:rsid w:val="006D4058"/>
    <w:rsid w:val="006D4449"/>
    <w:rsid w:val="006D4753"/>
    <w:rsid w:val="006D4BE2"/>
    <w:rsid w:val="006D57DF"/>
    <w:rsid w:val="006D66F7"/>
    <w:rsid w:val="006E02A3"/>
    <w:rsid w:val="006E1F8C"/>
    <w:rsid w:val="006E2749"/>
    <w:rsid w:val="006E3385"/>
    <w:rsid w:val="006E3831"/>
    <w:rsid w:val="006E3B5D"/>
    <w:rsid w:val="006E4EB9"/>
    <w:rsid w:val="006E54C9"/>
    <w:rsid w:val="006E6E45"/>
    <w:rsid w:val="006F1F64"/>
    <w:rsid w:val="006F2B92"/>
    <w:rsid w:val="006F2DAD"/>
    <w:rsid w:val="006F2F5D"/>
    <w:rsid w:val="00702D61"/>
    <w:rsid w:val="00702F63"/>
    <w:rsid w:val="00704921"/>
    <w:rsid w:val="00705C9D"/>
    <w:rsid w:val="00705DBD"/>
    <w:rsid w:val="00705F13"/>
    <w:rsid w:val="00706527"/>
    <w:rsid w:val="00710B74"/>
    <w:rsid w:val="00714502"/>
    <w:rsid w:val="00714F1D"/>
    <w:rsid w:val="00715225"/>
    <w:rsid w:val="007163B8"/>
    <w:rsid w:val="00716E08"/>
    <w:rsid w:val="00717C37"/>
    <w:rsid w:val="00720CC6"/>
    <w:rsid w:val="007214A6"/>
    <w:rsid w:val="00722933"/>
    <w:rsid w:val="00722B01"/>
    <w:rsid w:val="00722CA2"/>
    <w:rsid w:val="00722DDB"/>
    <w:rsid w:val="00722F1A"/>
    <w:rsid w:val="00724728"/>
    <w:rsid w:val="00724F98"/>
    <w:rsid w:val="007260F1"/>
    <w:rsid w:val="00730B9B"/>
    <w:rsid w:val="0073182E"/>
    <w:rsid w:val="007332FF"/>
    <w:rsid w:val="00734C10"/>
    <w:rsid w:val="00735255"/>
    <w:rsid w:val="00736045"/>
    <w:rsid w:val="007362CB"/>
    <w:rsid w:val="00740362"/>
    <w:rsid w:val="007408F5"/>
    <w:rsid w:val="00740E66"/>
    <w:rsid w:val="00741EAE"/>
    <w:rsid w:val="0074542C"/>
    <w:rsid w:val="007456F6"/>
    <w:rsid w:val="00751FA5"/>
    <w:rsid w:val="007551CD"/>
    <w:rsid w:val="007551E1"/>
    <w:rsid w:val="00755248"/>
    <w:rsid w:val="007557E0"/>
    <w:rsid w:val="00761498"/>
    <w:rsid w:val="0076190B"/>
    <w:rsid w:val="00761E08"/>
    <w:rsid w:val="00761EDA"/>
    <w:rsid w:val="0076355D"/>
    <w:rsid w:val="00763A2D"/>
    <w:rsid w:val="00763B47"/>
    <w:rsid w:val="007641D9"/>
    <w:rsid w:val="00764D3F"/>
    <w:rsid w:val="007653B9"/>
    <w:rsid w:val="0076656C"/>
    <w:rsid w:val="007702C6"/>
    <w:rsid w:val="0077108C"/>
    <w:rsid w:val="00772124"/>
    <w:rsid w:val="00772D62"/>
    <w:rsid w:val="00774F02"/>
    <w:rsid w:val="007761D8"/>
    <w:rsid w:val="007766C0"/>
    <w:rsid w:val="00777795"/>
    <w:rsid w:val="007804BF"/>
    <w:rsid w:val="0078203C"/>
    <w:rsid w:val="00783419"/>
    <w:rsid w:val="0078356C"/>
    <w:rsid w:val="00783A57"/>
    <w:rsid w:val="00784C92"/>
    <w:rsid w:val="007859CD"/>
    <w:rsid w:val="00786FA3"/>
    <w:rsid w:val="00790497"/>
    <w:rsid w:val="007907E4"/>
    <w:rsid w:val="00791260"/>
    <w:rsid w:val="007925AB"/>
    <w:rsid w:val="00796461"/>
    <w:rsid w:val="00796F87"/>
    <w:rsid w:val="00797607"/>
    <w:rsid w:val="00797696"/>
    <w:rsid w:val="007A4752"/>
    <w:rsid w:val="007A47BF"/>
    <w:rsid w:val="007A4A65"/>
    <w:rsid w:val="007A642D"/>
    <w:rsid w:val="007A6A4F"/>
    <w:rsid w:val="007B03F5"/>
    <w:rsid w:val="007B0BA4"/>
    <w:rsid w:val="007B13EA"/>
    <w:rsid w:val="007B59D3"/>
    <w:rsid w:val="007B5C09"/>
    <w:rsid w:val="007B5DA2"/>
    <w:rsid w:val="007B6EF3"/>
    <w:rsid w:val="007B7424"/>
    <w:rsid w:val="007B7770"/>
    <w:rsid w:val="007B7BA6"/>
    <w:rsid w:val="007C03C0"/>
    <w:rsid w:val="007C0966"/>
    <w:rsid w:val="007C19E7"/>
    <w:rsid w:val="007C4B27"/>
    <w:rsid w:val="007C5CFD"/>
    <w:rsid w:val="007C60FE"/>
    <w:rsid w:val="007C6D9F"/>
    <w:rsid w:val="007D00FF"/>
    <w:rsid w:val="007D2A04"/>
    <w:rsid w:val="007D392F"/>
    <w:rsid w:val="007D3F64"/>
    <w:rsid w:val="007D4893"/>
    <w:rsid w:val="007D71E1"/>
    <w:rsid w:val="007D7697"/>
    <w:rsid w:val="007E0B5A"/>
    <w:rsid w:val="007E139A"/>
    <w:rsid w:val="007E1F3B"/>
    <w:rsid w:val="007E2790"/>
    <w:rsid w:val="007E3157"/>
    <w:rsid w:val="007E3B48"/>
    <w:rsid w:val="007E5180"/>
    <w:rsid w:val="007E559C"/>
    <w:rsid w:val="007E5B41"/>
    <w:rsid w:val="007E5BF4"/>
    <w:rsid w:val="007E5F45"/>
    <w:rsid w:val="007E6A66"/>
    <w:rsid w:val="007E6E77"/>
    <w:rsid w:val="007E70CF"/>
    <w:rsid w:val="007E74A4"/>
    <w:rsid w:val="007E7E9E"/>
    <w:rsid w:val="007F263F"/>
    <w:rsid w:val="007F46EA"/>
    <w:rsid w:val="007F5579"/>
    <w:rsid w:val="007F5BA6"/>
    <w:rsid w:val="008001C4"/>
    <w:rsid w:val="008002E8"/>
    <w:rsid w:val="008003B5"/>
    <w:rsid w:val="00801BFE"/>
    <w:rsid w:val="0080398C"/>
    <w:rsid w:val="00803FE4"/>
    <w:rsid w:val="00804790"/>
    <w:rsid w:val="00804CCA"/>
    <w:rsid w:val="0080766E"/>
    <w:rsid w:val="00807B71"/>
    <w:rsid w:val="008105BE"/>
    <w:rsid w:val="00811169"/>
    <w:rsid w:val="0081278C"/>
    <w:rsid w:val="00815297"/>
    <w:rsid w:val="008168FD"/>
    <w:rsid w:val="00817BA1"/>
    <w:rsid w:val="00817C12"/>
    <w:rsid w:val="00820882"/>
    <w:rsid w:val="008218E4"/>
    <w:rsid w:val="00821D46"/>
    <w:rsid w:val="00822D21"/>
    <w:rsid w:val="00823022"/>
    <w:rsid w:val="0082634E"/>
    <w:rsid w:val="00831078"/>
    <w:rsid w:val="008313C4"/>
    <w:rsid w:val="00832B35"/>
    <w:rsid w:val="0083417D"/>
    <w:rsid w:val="00835208"/>
    <w:rsid w:val="00835434"/>
    <w:rsid w:val="008358C0"/>
    <w:rsid w:val="00836548"/>
    <w:rsid w:val="008368B5"/>
    <w:rsid w:val="008413D6"/>
    <w:rsid w:val="00842614"/>
    <w:rsid w:val="00842838"/>
    <w:rsid w:val="00845ADD"/>
    <w:rsid w:val="00850A81"/>
    <w:rsid w:val="00852724"/>
    <w:rsid w:val="00852DCA"/>
    <w:rsid w:val="00854BE6"/>
    <w:rsid w:val="00854EC1"/>
    <w:rsid w:val="008557D2"/>
    <w:rsid w:val="0085797F"/>
    <w:rsid w:val="00861DC3"/>
    <w:rsid w:val="00867019"/>
    <w:rsid w:val="00870483"/>
    <w:rsid w:val="008719D5"/>
    <w:rsid w:val="00873403"/>
    <w:rsid w:val="008735A9"/>
    <w:rsid w:val="0087470E"/>
    <w:rsid w:val="0087555D"/>
    <w:rsid w:val="00875E9C"/>
    <w:rsid w:val="00876FD5"/>
    <w:rsid w:val="00877245"/>
    <w:rsid w:val="00877D20"/>
    <w:rsid w:val="00880607"/>
    <w:rsid w:val="008811BA"/>
    <w:rsid w:val="00881593"/>
    <w:rsid w:val="00881C48"/>
    <w:rsid w:val="00881ECF"/>
    <w:rsid w:val="00881FDC"/>
    <w:rsid w:val="008827C2"/>
    <w:rsid w:val="008835F3"/>
    <w:rsid w:val="0088374A"/>
    <w:rsid w:val="00885590"/>
    <w:rsid w:val="00885B80"/>
    <w:rsid w:val="00885C30"/>
    <w:rsid w:val="00885E9B"/>
    <w:rsid w:val="0088623A"/>
    <w:rsid w:val="00886C9D"/>
    <w:rsid w:val="0088737D"/>
    <w:rsid w:val="008901CB"/>
    <w:rsid w:val="00891964"/>
    <w:rsid w:val="00891B5E"/>
    <w:rsid w:val="00891D3C"/>
    <w:rsid w:val="00893C96"/>
    <w:rsid w:val="0089500A"/>
    <w:rsid w:val="00897C94"/>
    <w:rsid w:val="008A0933"/>
    <w:rsid w:val="008A26B8"/>
    <w:rsid w:val="008A2B07"/>
    <w:rsid w:val="008A3BDF"/>
    <w:rsid w:val="008A3FDF"/>
    <w:rsid w:val="008A51A3"/>
    <w:rsid w:val="008A7C12"/>
    <w:rsid w:val="008B03CE"/>
    <w:rsid w:val="008B1D7D"/>
    <w:rsid w:val="008B3CD1"/>
    <w:rsid w:val="008B4A74"/>
    <w:rsid w:val="008B529E"/>
    <w:rsid w:val="008C0716"/>
    <w:rsid w:val="008C17FB"/>
    <w:rsid w:val="008C1FBF"/>
    <w:rsid w:val="008C2004"/>
    <w:rsid w:val="008C404E"/>
    <w:rsid w:val="008C774B"/>
    <w:rsid w:val="008D0A4B"/>
    <w:rsid w:val="008D17EB"/>
    <w:rsid w:val="008D1B00"/>
    <w:rsid w:val="008D2858"/>
    <w:rsid w:val="008D45DD"/>
    <w:rsid w:val="008D57B8"/>
    <w:rsid w:val="008D7141"/>
    <w:rsid w:val="008E0345"/>
    <w:rsid w:val="008E03FC"/>
    <w:rsid w:val="008E15D5"/>
    <w:rsid w:val="008E3A7F"/>
    <w:rsid w:val="008E510B"/>
    <w:rsid w:val="008E57D9"/>
    <w:rsid w:val="008E70A5"/>
    <w:rsid w:val="008F0719"/>
    <w:rsid w:val="008F28D1"/>
    <w:rsid w:val="008F2F5E"/>
    <w:rsid w:val="008F386A"/>
    <w:rsid w:val="008F39E9"/>
    <w:rsid w:val="008F4C10"/>
    <w:rsid w:val="008F4DC4"/>
    <w:rsid w:val="008F5599"/>
    <w:rsid w:val="008F575E"/>
    <w:rsid w:val="00900750"/>
    <w:rsid w:val="00901ABF"/>
    <w:rsid w:val="00901D6D"/>
    <w:rsid w:val="0090272D"/>
    <w:rsid w:val="00902746"/>
    <w:rsid w:val="00902B13"/>
    <w:rsid w:val="00903E83"/>
    <w:rsid w:val="0090528E"/>
    <w:rsid w:val="00911941"/>
    <w:rsid w:val="0091260F"/>
    <w:rsid w:val="0091367E"/>
    <w:rsid w:val="009138A0"/>
    <w:rsid w:val="00913BDF"/>
    <w:rsid w:val="009151B0"/>
    <w:rsid w:val="009160AD"/>
    <w:rsid w:val="0091758D"/>
    <w:rsid w:val="0092301A"/>
    <w:rsid w:val="00923023"/>
    <w:rsid w:val="00924543"/>
    <w:rsid w:val="00925F0F"/>
    <w:rsid w:val="009266B6"/>
    <w:rsid w:val="009302DB"/>
    <w:rsid w:val="00930C91"/>
    <w:rsid w:val="009324E5"/>
    <w:rsid w:val="00932F6B"/>
    <w:rsid w:val="0093673F"/>
    <w:rsid w:val="009408A8"/>
    <w:rsid w:val="00942115"/>
    <w:rsid w:val="009436FF"/>
    <w:rsid w:val="00943CA8"/>
    <w:rsid w:val="0094502E"/>
    <w:rsid w:val="00945D12"/>
    <w:rsid w:val="009464A9"/>
    <w:rsid w:val="009468BC"/>
    <w:rsid w:val="009470A9"/>
    <w:rsid w:val="009504D8"/>
    <w:rsid w:val="00952EA2"/>
    <w:rsid w:val="00956A2B"/>
    <w:rsid w:val="00956D76"/>
    <w:rsid w:val="00960690"/>
    <w:rsid w:val="009616DF"/>
    <w:rsid w:val="00961CD6"/>
    <w:rsid w:val="00964AF9"/>
    <w:rsid w:val="00964B0F"/>
    <w:rsid w:val="00964B22"/>
    <w:rsid w:val="0096542F"/>
    <w:rsid w:val="00966B57"/>
    <w:rsid w:val="00967FA7"/>
    <w:rsid w:val="009703D8"/>
    <w:rsid w:val="00971645"/>
    <w:rsid w:val="009716D0"/>
    <w:rsid w:val="00972E86"/>
    <w:rsid w:val="0097485E"/>
    <w:rsid w:val="00975466"/>
    <w:rsid w:val="00975B34"/>
    <w:rsid w:val="00977919"/>
    <w:rsid w:val="00977CF8"/>
    <w:rsid w:val="00977D83"/>
    <w:rsid w:val="0098220A"/>
    <w:rsid w:val="00982591"/>
    <w:rsid w:val="00983000"/>
    <w:rsid w:val="0098327C"/>
    <w:rsid w:val="00984D9B"/>
    <w:rsid w:val="00985A35"/>
    <w:rsid w:val="009863A2"/>
    <w:rsid w:val="009870FA"/>
    <w:rsid w:val="0099042A"/>
    <w:rsid w:val="009921C3"/>
    <w:rsid w:val="00992FE8"/>
    <w:rsid w:val="009933B9"/>
    <w:rsid w:val="0099483B"/>
    <w:rsid w:val="0099551D"/>
    <w:rsid w:val="00996BBF"/>
    <w:rsid w:val="009A0821"/>
    <w:rsid w:val="009A2AE7"/>
    <w:rsid w:val="009A2EBB"/>
    <w:rsid w:val="009A3D00"/>
    <w:rsid w:val="009A52D5"/>
    <w:rsid w:val="009A5742"/>
    <w:rsid w:val="009A5897"/>
    <w:rsid w:val="009A5F24"/>
    <w:rsid w:val="009B0B3E"/>
    <w:rsid w:val="009B0BA3"/>
    <w:rsid w:val="009B124A"/>
    <w:rsid w:val="009B1913"/>
    <w:rsid w:val="009B2985"/>
    <w:rsid w:val="009B407B"/>
    <w:rsid w:val="009B49D4"/>
    <w:rsid w:val="009B6657"/>
    <w:rsid w:val="009B6EA0"/>
    <w:rsid w:val="009B7C35"/>
    <w:rsid w:val="009C008A"/>
    <w:rsid w:val="009C0575"/>
    <w:rsid w:val="009C0C71"/>
    <w:rsid w:val="009C21F1"/>
    <w:rsid w:val="009C2427"/>
    <w:rsid w:val="009C2A87"/>
    <w:rsid w:val="009C2B2F"/>
    <w:rsid w:val="009C3558"/>
    <w:rsid w:val="009C3F43"/>
    <w:rsid w:val="009C4594"/>
    <w:rsid w:val="009D0EB5"/>
    <w:rsid w:val="009D14F9"/>
    <w:rsid w:val="009D1630"/>
    <w:rsid w:val="009D2325"/>
    <w:rsid w:val="009D2B74"/>
    <w:rsid w:val="009D3371"/>
    <w:rsid w:val="009D3FE4"/>
    <w:rsid w:val="009D4749"/>
    <w:rsid w:val="009D5BA8"/>
    <w:rsid w:val="009D63FF"/>
    <w:rsid w:val="009D7FC4"/>
    <w:rsid w:val="009E0DD2"/>
    <w:rsid w:val="009E175D"/>
    <w:rsid w:val="009E1ABB"/>
    <w:rsid w:val="009E1AE7"/>
    <w:rsid w:val="009E1B35"/>
    <w:rsid w:val="009E1B6C"/>
    <w:rsid w:val="009E2315"/>
    <w:rsid w:val="009E2C85"/>
    <w:rsid w:val="009E3CC2"/>
    <w:rsid w:val="009E4178"/>
    <w:rsid w:val="009E49E2"/>
    <w:rsid w:val="009E630A"/>
    <w:rsid w:val="009E654E"/>
    <w:rsid w:val="009F05B4"/>
    <w:rsid w:val="009F06BD"/>
    <w:rsid w:val="009F1A6F"/>
    <w:rsid w:val="009F2A4D"/>
    <w:rsid w:val="009F3302"/>
    <w:rsid w:val="009F4341"/>
    <w:rsid w:val="009F5809"/>
    <w:rsid w:val="009F68AC"/>
    <w:rsid w:val="00A00828"/>
    <w:rsid w:val="00A020D7"/>
    <w:rsid w:val="00A026C0"/>
    <w:rsid w:val="00A03290"/>
    <w:rsid w:val="00A04FD5"/>
    <w:rsid w:val="00A059B5"/>
    <w:rsid w:val="00A05D06"/>
    <w:rsid w:val="00A05FF9"/>
    <w:rsid w:val="00A06593"/>
    <w:rsid w:val="00A0722A"/>
    <w:rsid w:val="00A07490"/>
    <w:rsid w:val="00A10655"/>
    <w:rsid w:val="00A11265"/>
    <w:rsid w:val="00A1197C"/>
    <w:rsid w:val="00A12371"/>
    <w:rsid w:val="00A12B64"/>
    <w:rsid w:val="00A13E7F"/>
    <w:rsid w:val="00A1436C"/>
    <w:rsid w:val="00A1758C"/>
    <w:rsid w:val="00A17DDB"/>
    <w:rsid w:val="00A20491"/>
    <w:rsid w:val="00A20503"/>
    <w:rsid w:val="00A22C38"/>
    <w:rsid w:val="00A23B20"/>
    <w:rsid w:val="00A23B49"/>
    <w:rsid w:val="00A25193"/>
    <w:rsid w:val="00A26C26"/>
    <w:rsid w:val="00A26E80"/>
    <w:rsid w:val="00A27E15"/>
    <w:rsid w:val="00A3123A"/>
    <w:rsid w:val="00A31AE8"/>
    <w:rsid w:val="00A32EFF"/>
    <w:rsid w:val="00A33AB2"/>
    <w:rsid w:val="00A33E85"/>
    <w:rsid w:val="00A3593B"/>
    <w:rsid w:val="00A36777"/>
    <w:rsid w:val="00A3739D"/>
    <w:rsid w:val="00A37A05"/>
    <w:rsid w:val="00A37DDA"/>
    <w:rsid w:val="00A37ED8"/>
    <w:rsid w:val="00A4080C"/>
    <w:rsid w:val="00A41D8A"/>
    <w:rsid w:val="00A420D8"/>
    <w:rsid w:val="00A44837"/>
    <w:rsid w:val="00A44B2E"/>
    <w:rsid w:val="00A45BD2"/>
    <w:rsid w:val="00A50829"/>
    <w:rsid w:val="00A53B8D"/>
    <w:rsid w:val="00A569DD"/>
    <w:rsid w:val="00A57D48"/>
    <w:rsid w:val="00A60E5C"/>
    <w:rsid w:val="00A60F6B"/>
    <w:rsid w:val="00A61F91"/>
    <w:rsid w:val="00A63BE2"/>
    <w:rsid w:val="00A63F41"/>
    <w:rsid w:val="00A65C5D"/>
    <w:rsid w:val="00A666FE"/>
    <w:rsid w:val="00A7565D"/>
    <w:rsid w:val="00A75995"/>
    <w:rsid w:val="00A769B4"/>
    <w:rsid w:val="00A7700D"/>
    <w:rsid w:val="00A808D2"/>
    <w:rsid w:val="00A80BBD"/>
    <w:rsid w:val="00A81067"/>
    <w:rsid w:val="00A82356"/>
    <w:rsid w:val="00A83203"/>
    <w:rsid w:val="00A83CC6"/>
    <w:rsid w:val="00A840CB"/>
    <w:rsid w:val="00A84CE3"/>
    <w:rsid w:val="00A85D03"/>
    <w:rsid w:val="00A9039F"/>
    <w:rsid w:val="00A925EC"/>
    <w:rsid w:val="00A929AA"/>
    <w:rsid w:val="00A92B6B"/>
    <w:rsid w:val="00A92C09"/>
    <w:rsid w:val="00A952BE"/>
    <w:rsid w:val="00A955A9"/>
    <w:rsid w:val="00AA1F61"/>
    <w:rsid w:val="00AA44AA"/>
    <w:rsid w:val="00AA4C49"/>
    <w:rsid w:val="00AA4D6E"/>
    <w:rsid w:val="00AA541E"/>
    <w:rsid w:val="00AA5D5B"/>
    <w:rsid w:val="00AA75EE"/>
    <w:rsid w:val="00AB01BC"/>
    <w:rsid w:val="00AB181A"/>
    <w:rsid w:val="00AB3535"/>
    <w:rsid w:val="00AB4CC1"/>
    <w:rsid w:val="00AB7A94"/>
    <w:rsid w:val="00AC1E7E"/>
    <w:rsid w:val="00AC2AE4"/>
    <w:rsid w:val="00AC55EB"/>
    <w:rsid w:val="00AC5CCC"/>
    <w:rsid w:val="00AC6BD2"/>
    <w:rsid w:val="00AC6DAF"/>
    <w:rsid w:val="00AD0DA4"/>
    <w:rsid w:val="00AD132D"/>
    <w:rsid w:val="00AD134E"/>
    <w:rsid w:val="00AD1B26"/>
    <w:rsid w:val="00AD23F7"/>
    <w:rsid w:val="00AD4169"/>
    <w:rsid w:val="00AD4434"/>
    <w:rsid w:val="00AD7557"/>
    <w:rsid w:val="00AE25C6"/>
    <w:rsid w:val="00AE306C"/>
    <w:rsid w:val="00AE34F4"/>
    <w:rsid w:val="00AE6C1B"/>
    <w:rsid w:val="00AF28C1"/>
    <w:rsid w:val="00AF47BB"/>
    <w:rsid w:val="00AF5CD4"/>
    <w:rsid w:val="00B00031"/>
    <w:rsid w:val="00B01718"/>
    <w:rsid w:val="00B01D8F"/>
    <w:rsid w:val="00B02C31"/>
    <w:rsid w:val="00B02EF1"/>
    <w:rsid w:val="00B02F39"/>
    <w:rsid w:val="00B03595"/>
    <w:rsid w:val="00B070B3"/>
    <w:rsid w:val="00B07C97"/>
    <w:rsid w:val="00B07EA1"/>
    <w:rsid w:val="00B11479"/>
    <w:rsid w:val="00B11C67"/>
    <w:rsid w:val="00B12128"/>
    <w:rsid w:val="00B1229F"/>
    <w:rsid w:val="00B12A0D"/>
    <w:rsid w:val="00B1344A"/>
    <w:rsid w:val="00B1386C"/>
    <w:rsid w:val="00B13BD5"/>
    <w:rsid w:val="00B1509D"/>
    <w:rsid w:val="00B15754"/>
    <w:rsid w:val="00B15A27"/>
    <w:rsid w:val="00B17DBD"/>
    <w:rsid w:val="00B2046E"/>
    <w:rsid w:val="00B20952"/>
    <w:rsid w:val="00B20E8B"/>
    <w:rsid w:val="00B21B99"/>
    <w:rsid w:val="00B22752"/>
    <w:rsid w:val="00B24B16"/>
    <w:rsid w:val="00B24D50"/>
    <w:rsid w:val="00B250BB"/>
    <w:rsid w:val="00B257E1"/>
    <w:rsid w:val="00B2599A"/>
    <w:rsid w:val="00B26DFA"/>
    <w:rsid w:val="00B26F84"/>
    <w:rsid w:val="00B277A8"/>
    <w:rsid w:val="00B27AC4"/>
    <w:rsid w:val="00B3208A"/>
    <w:rsid w:val="00B33FE2"/>
    <w:rsid w:val="00B343CC"/>
    <w:rsid w:val="00B36A4B"/>
    <w:rsid w:val="00B4076C"/>
    <w:rsid w:val="00B40F08"/>
    <w:rsid w:val="00B41B64"/>
    <w:rsid w:val="00B42814"/>
    <w:rsid w:val="00B42B29"/>
    <w:rsid w:val="00B4316C"/>
    <w:rsid w:val="00B43C75"/>
    <w:rsid w:val="00B44A40"/>
    <w:rsid w:val="00B44EFF"/>
    <w:rsid w:val="00B45047"/>
    <w:rsid w:val="00B46509"/>
    <w:rsid w:val="00B47282"/>
    <w:rsid w:val="00B47C1C"/>
    <w:rsid w:val="00B47D64"/>
    <w:rsid w:val="00B5084A"/>
    <w:rsid w:val="00B50DB4"/>
    <w:rsid w:val="00B546BF"/>
    <w:rsid w:val="00B55951"/>
    <w:rsid w:val="00B55AEE"/>
    <w:rsid w:val="00B56C42"/>
    <w:rsid w:val="00B606A1"/>
    <w:rsid w:val="00B60A9E"/>
    <w:rsid w:val="00B614F7"/>
    <w:rsid w:val="00B61AB1"/>
    <w:rsid w:val="00B61B26"/>
    <w:rsid w:val="00B62394"/>
    <w:rsid w:val="00B6484C"/>
    <w:rsid w:val="00B64BFA"/>
    <w:rsid w:val="00B64D96"/>
    <w:rsid w:val="00B65EA5"/>
    <w:rsid w:val="00B66222"/>
    <w:rsid w:val="00B675B2"/>
    <w:rsid w:val="00B703E8"/>
    <w:rsid w:val="00B72F35"/>
    <w:rsid w:val="00B741EC"/>
    <w:rsid w:val="00B76C39"/>
    <w:rsid w:val="00B80B23"/>
    <w:rsid w:val="00B81261"/>
    <w:rsid w:val="00B81279"/>
    <w:rsid w:val="00B814E3"/>
    <w:rsid w:val="00B815E6"/>
    <w:rsid w:val="00B81611"/>
    <w:rsid w:val="00B8223E"/>
    <w:rsid w:val="00B823FA"/>
    <w:rsid w:val="00B82930"/>
    <w:rsid w:val="00B832AE"/>
    <w:rsid w:val="00B836EE"/>
    <w:rsid w:val="00B83D8D"/>
    <w:rsid w:val="00B86678"/>
    <w:rsid w:val="00B871DB"/>
    <w:rsid w:val="00B87AEA"/>
    <w:rsid w:val="00B87CD5"/>
    <w:rsid w:val="00B90498"/>
    <w:rsid w:val="00B91289"/>
    <w:rsid w:val="00B92F9B"/>
    <w:rsid w:val="00B9319A"/>
    <w:rsid w:val="00B93B82"/>
    <w:rsid w:val="00B93D14"/>
    <w:rsid w:val="00B9415F"/>
    <w:rsid w:val="00B941B3"/>
    <w:rsid w:val="00B95252"/>
    <w:rsid w:val="00B95C49"/>
    <w:rsid w:val="00B962C1"/>
    <w:rsid w:val="00B96513"/>
    <w:rsid w:val="00B967F2"/>
    <w:rsid w:val="00BA04A7"/>
    <w:rsid w:val="00BA0841"/>
    <w:rsid w:val="00BA1D47"/>
    <w:rsid w:val="00BA20B3"/>
    <w:rsid w:val="00BA265D"/>
    <w:rsid w:val="00BA3B8D"/>
    <w:rsid w:val="00BA3BB6"/>
    <w:rsid w:val="00BA66F0"/>
    <w:rsid w:val="00BB2239"/>
    <w:rsid w:val="00BB2AE7"/>
    <w:rsid w:val="00BB2C36"/>
    <w:rsid w:val="00BB2E85"/>
    <w:rsid w:val="00BB4239"/>
    <w:rsid w:val="00BB4832"/>
    <w:rsid w:val="00BB6464"/>
    <w:rsid w:val="00BC1BB8"/>
    <w:rsid w:val="00BC1C32"/>
    <w:rsid w:val="00BC1EC0"/>
    <w:rsid w:val="00BC33C7"/>
    <w:rsid w:val="00BC44A7"/>
    <w:rsid w:val="00BC51DC"/>
    <w:rsid w:val="00BC52FB"/>
    <w:rsid w:val="00BC7422"/>
    <w:rsid w:val="00BD0F38"/>
    <w:rsid w:val="00BD1A0D"/>
    <w:rsid w:val="00BD2D47"/>
    <w:rsid w:val="00BD3CDA"/>
    <w:rsid w:val="00BD4D42"/>
    <w:rsid w:val="00BD5311"/>
    <w:rsid w:val="00BD6123"/>
    <w:rsid w:val="00BD7FE1"/>
    <w:rsid w:val="00BE37CA"/>
    <w:rsid w:val="00BE4B2A"/>
    <w:rsid w:val="00BE4F0E"/>
    <w:rsid w:val="00BE5DC0"/>
    <w:rsid w:val="00BE6144"/>
    <w:rsid w:val="00BE635A"/>
    <w:rsid w:val="00BE7B33"/>
    <w:rsid w:val="00BF17E9"/>
    <w:rsid w:val="00BF2ABB"/>
    <w:rsid w:val="00BF2F38"/>
    <w:rsid w:val="00BF3C6E"/>
    <w:rsid w:val="00BF410D"/>
    <w:rsid w:val="00BF5099"/>
    <w:rsid w:val="00BF650E"/>
    <w:rsid w:val="00BF66E8"/>
    <w:rsid w:val="00BF6B90"/>
    <w:rsid w:val="00BF6C88"/>
    <w:rsid w:val="00BF70FC"/>
    <w:rsid w:val="00C00A84"/>
    <w:rsid w:val="00C01837"/>
    <w:rsid w:val="00C0288D"/>
    <w:rsid w:val="00C03C2F"/>
    <w:rsid w:val="00C03F84"/>
    <w:rsid w:val="00C04E37"/>
    <w:rsid w:val="00C0589C"/>
    <w:rsid w:val="00C062A1"/>
    <w:rsid w:val="00C06D7E"/>
    <w:rsid w:val="00C10290"/>
    <w:rsid w:val="00C10627"/>
    <w:rsid w:val="00C106D9"/>
    <w:rsid w:val="00C10F10"/>
    <w:rsid w:val="00C10F6F"/>
    <w:rsid w:val="00C11AC6"/>
    <w:rsid w:val="00C128C4"/>
    <w:rsid w:val="00C14C52"/>
    <w:rsid w:val="00C15D4D"/>
    <w:rsid w:val="00C16615"/>
    <w:rsid w:val="00C16A12"/>
    <w:rsid w:val="00C175DC"/>
    <w:rsid w:val="00C2278B"/>
    <w:rsid w:val="00C232DF"/>
    <w:rsid w:val="00C2461C"/>
    <w:rsid w:val="00C2471B"/>
    <w:rsid w:val="00C249CB"/>
    <w:rsid w:val="00C30171"/>
    <w:rsid w:val="00C3020E"/>
    <w:rsid w:val="00C309D8"/>
    <w:rsid w:val="00C33998"/>
    <w:rsid w:val="00C33EF0"/>
    <w:rsid w:val="00C354B2"/>
    <w:rsid w:val="00C376EA"/>
    <w:rsid w:val="00C432C7"/>
    <w:rsid w:val="00C43519"/>
    <w:rsid w:val="00C44147"/>
    <w:rsid w:val="00C46246"/>
    <w:rsid w:val="00C46D94"/>
    <w:rsid w:val="00C51537"/>
    <w:rsid w:val="00C52BC3"/>
    <w:rsid w:val="00C5488A"/>
    <w:rsid w:val="00C5584B"/>
    <w:rsid w:val="00C5593B"/>
    <w:rsid w:val="00C608C8"/>
    <w:rsid w:val="00C60A16"/>
    <w:rsid w:val="00C6104D"/>
    <w:rsid w:val="00C61AFA"/>
    <w:rsid w:val="00C61D64"/>
    <w:rsid w:val="00C62099"/>
    <w:rsid w:val="00C6403C"/>
    <w:rsid w:val="00C64EA3"/>
    <w:rsid w:val="00C65B84"/>
    <w:rsid w:val="00C67669"/>
    <w:rsid w:val="00C72867"/>
    <w:rsid w:val="00C75E81"/>
    <w:rsid w:val="00C75F52"/>
    <w:rsid w:val="00C77356"/>
    <w:rsid w:val="00C77D15"/>
    <w:rsid w:val="00C81104"/>
    <w:rsid w:val="00C812E1"/>
    <w:rsid w:val="00C81892"/>
    <w:rsid w:val="00C840CF"/>
    <w:rsid w:val="00C84209"/>
    <w:rsid w:val="00C84BCD"/>
    <w:rsid w:val="00C86609"/>
    <w:rsid w:val="00C86A4D"/>
    <w:rsid w:val="00C92B4C"/>
    <w:rsid w:val="00C942C7"/>
    <w:rsid w:val="00C943CC"/>
    <w:rsid w:val="00C95355"/>
    <w:rsid w:val="00C954F6"/>
    <w:rsid w:val="00C95D30"/>
    <w:rsid w:val="00C97ABC"/>
    <w:rsid w:val="00CA01A4"/>
    <w:rsid w:val="00CA07EB"/>
    <w:rsid w:val="00CA1ED8"/>
    <w:rsid w:val="00CA1F6C"/>
    <w:rsid w:val="00CA3863"/>
    <w:rsid w:val="00CA5D2D"/>
    <w:rsid w:val="00CA66F6"/>
    <w:rsid w:val="00CA6BC5"/>
    <w:rsid w:val="00CA7591"/>
    <w:rsid w:val="00CA7A17"/>
    <w:rsid w:val="00CA7F89"/>
    <w:rsid w:val="00CB0225"/>
    <w:rsid w:val="00CB11D6"/>
    <w:rsid w:val="00CB176D"/>
    <w:rsid w:val="00CB3572"/>
    <w:rsid w:val="00CB3E57"/>
    <w:rsid w:val="00CB46FD"/>
    <w:rsid w:val="00CB560D"/>
    <w:rsid w:val="00CB783F"/>
    <w:rsid w:val="00CC1CA1"/>
    <w:rsid w:val="00CC1CCA"/>
    <w:rsid w:val="00CC32E7"/>
    <w:rsid w:val="00CC4CA6"/>
    <w:rsid w:val="00CC505F"/>
    <w:rsid w:val="00CC51E9"/>
    <w:rsid w:val="00CC5522"/>
    <w:rsid w:val="00CC61CD"/>
    <w:rsid w:val="00CC6FCF"/>
    <w:rsid w:val="00CC75B8"/>
    <w:rsid w:val="00CD28DE"/>
    <w:rsid w:val="00CD30D3"/>
    <w:rsid w:val="00CD3D1D"/>
    <w:rsid w:val="00CD5011"/>
    <w:rsid w:val="00CD63CB"/>
    <w:rsid w:val="00CD7168"/>
    <w:rsid w:val="00CE00CF"/>
    <w:rsid w:val="00CE0480"/>
    <w:rsid w:val="00CE07EA"/>
    <w:rsid w:val="00CE1838"/>
    <w:rsid w:val="00CE1B6B"/>
    <w:rsid w:val="00CE3851"/>
    <w:rsid w:val="00CE3F60"/>
    <w:rsid w:val="00CE444F"/>
    <w:rsid w:val="00CE640F"/>
    <w:rsid w:val="00CE7680"/>
    <w:rsid w:val="00CE76BC"/>
    <w:rsid w:val="00CF0556"/>
    <w:rsid w:val="00CF299F"/>
    <w:rsid w:val="00CF3162"/>
    <w:rsid w:val="00CF540E"/>
    <w:rsid w:val="00CF614B"/>
    <w:rsid w:val="00CF7F09"/>
    <w:rsid w:val="00D00858"/>
    <w:rsid w:val="00D02F07"/>
    <w:rsid w:val="00D0328B"/>
    <w:rsid w:val="00D04F6B"/>
    <w:rsid w:val="00D057AB"/>
    <w:rsid w:val="00D10310"/>
    <w:rsid w:val="00D1349E"/>
    <w:rsid w:val="00D143E5"/>
    <w:rsid w:val="00D20621"/>
    <w:rsid w:val="00D20D5B"/>
    <w:rsid w:val="00D23346"/>
    <w:rsid w:val="00D23DFA"/>
    <w:rsid w:val="00D24175"/>
    <w:rsid w:val="00D241B1"/>
    <w:rsid w:val="00D248BA"/>
    <w:rsid w:val="00D24B1D"/>
    <w:rsid w:val="00D25903"/>
    <w:rsid w:val="00D27EBE"/>
    <w:rsid w:val="00D3140A"/>
    <w:rsid w:val="00D36A49"/>
    <w:rsid w:val="00D37941"/>
    <w:rsid w:val="00D37EFC"/>
    <w:rsid w:val="00D4129F"/>
    <w:rsid w:val="00D42359"/>
    <w:rsid w:val="00D42F2F"/>
    <w:rsid w:val="00D453FB"/>
    <w:rsid w:val="00D46060"/>
    <w:rsid w:val="00D517C6"/>
    <w:rsid w:val="00D5198F"/>
    <w:rsid w:val="00D525DA"/>
    <w:rsid w:val="00D52F32"/>
    <w:rsid w:val="00D538C1"/>
    <w:rsid w:val="00D540C0"/>
    <w:rsid w:val="00D54F69"/>
    <w:rsid w:val="00D60B63"/>
    <w:rsid w:val="00D6180F"/>
    <w:rsid w:val="00D61921"/>
    <w:rsid w:val="00D61E46"/>
    <w:rsid w:val="00D62499"/>
    <w:rsid w:val="00D626E6"/>
    <w:rsid w:val="00D63311"/>
    <w:rsid w:val="00D64806"/>
    <w:rsid w:val="00D664D5"/>
    <w:rsid w:val="00D67B07"/>
    <w:rsid w:val="00D70070"/>
    <w:rsid w:val="00D7031F"/>
    <w:rsid w:val="00D7076C"/>
    <w:rsid w:val="00D71BE0"/>
    <w:rsid w:val="00D71D84"/>
    <w:rsid w:val="00D72464"/>
    <w:rsid w:val="00D7294F"/>
    <w:rsid w:val="00D768EB"/>
    <w:rsid w:val="00D80FC4"/>
    <w:rsid w:val="00D82D1E"/>
    <w:rsid w:val="00D832D9"/>
    <w:rsid w:val="00D84589"/>
    <w:rsid w:val="00D84B8F"/>
    <w:rsid w:val="00D86B10"/>
    <w:rsid w:val="00D872F0"/>
    <w:rsid w:val="00D90F00"/>
    <w:rsid w:val="00D94F6B"/>
    <w:rsid w:val="00D966DE"/>
    <w:rsid w:val="00D9724C"/>
    <w:rsid w:val="00D975C0"/>
    <w:rsid w:val="00DA2687"/>
    <w:rsid w:val="00DA377F"/>
    <w:rsid w:val="00DA38B8"/>
    <w:rsid w:val="00DA44B5"/>
    <w:rsid w:val="00DA5285"/>
    <w:rsid w:val="00DA5A20"/>
    <w:rsid w:val="00DA5DC2"/>
    <w:rsid w:val="00DB15D1"/>
    <w:rsid w:val="00DB191D"/>
    <w:rsid w:val="00DB3049"/>
    <w:rsid w:val="00DB3058"/>
    <w:rsid w:val="00DB4F91"/>
    <w:rsid w:val="00DB5B66"/>
    <w:rsid w:val="00DB62D6"/>
    <w:rsid w:val="00DB6CF5"/>
    <w:rsid w:val="00DC032A"/>
    <w:rsid w:val="00DC0AB3"/>
    <w:rsid w:val="00DC1EF7"/>
    <w:rsid w:val="00DC1F0F"/>
    <w:rsid w:val="00DC3117"/>
    <w:rsid w:val="00DC4DA5"/>
    <w:rsid w:val="00DC55B3"/>
    <w:rsid w:val="00DC5DD9"/>
    <w:rsid w:val="00DC6D2D"/>
    <w:rsid w:val="00DC75C9"/>
    <w:rsid w:val="00DC7764"/>
    <w:rsid w:val="00DD050A"/>
    <w:rsid w:val="00DD142D"/>
    <w:rsid w:val="00DD2388"/>
    <w:rsid w:val="00DD618D"/>
    <w:rsid w:val="00DD64C2"/>
    <w:rsid w:val="00DE2B53"/>
    <w:rsid w:val="00DE3019"/>
    <w:rsid w:val="00DE308C"/>
    <w:rsid w:val="00DE33B5"/>
    <w:rsid w:val="00DE46BA"/>
    <w:rsid w:val="00DE5E18"/>
    <w:rsid w:val="00DE6DBD"/>
    <w:rsid w:val="00DE6E01"/>
    <w:rsid w:val="00DE77B2"/>
    <w:rsid w:val="00DE77C9"/>
    <w:rsid w:val="00DF0417"/>
    <w:rsid w:val="00DF0487"/>
    <w:rsid w:val="00DF3142"/>
    <w:rsid w:val="00DF3424"/>
    <w:rsid w:val="00DF4E9E"/>
    <w:rsid w:val="00DF5EA4"/>
    <w:rsid w:val="00DF6F11"/>
    <w:rsid w:val="00DF7D03"/>
    <w:rsid w:val="00E00D2E"/>
    <w:rsid w:val="00E02062"/>
    <w:rsid w:val="00E02681"/>
    <w:rsid w:val="00E02792"/>
    <w:rsid w:val="00E02A2B"/>
    <w:rsid w:val="00E034D8"/>
    <w:rsid w:val="00E049DE"/>
    <w:rsid w:val="00E04CC0"/>
    <w:rsid w:val="00E054EC"/>
    <w:rsid w:val="00E06B98"/>
    <w:rsid w:val="00E10F6F"/>
    <w:rsid w:val="00E155E0"/>
    <w:rsid w:val="00E15816"/>
    <w:rsid w:val="00E15B7D"/>
    <w:rsid w:val="00E160D5"/>
    <w:rsid w:val="00E16FE2"/>
    <w:rsid w:val="00E216DF"/>
    <w:rsid w:val="00E21E25"/>
    <w:rsid w:val="00E239FF"/>
    <w:rsid w:val="00E24FEC"/>
    <w:rsid w:val="00E27D7B"/>
    <w:rsid w:val="00E30151"/>
    <w:rsid w:val="00E30556"/>
    <w:rsid w:val="00E30747"/>
    <w:rsid w:val="00E30981"/>
    <w:rsid w:val="00E30A98"/>
    <w:rsid w:val="00E316B5"/>
    <w:rsid w:val="00E33136"/>
    <w:rsid w:val="00E33C1C"/>
    <w:rsid w:val="00E33DCE"/>
    <w:rsid w:val="00E33F08"/>
    <w:rsid w:val="00E34704"/>
    <w:rsid w:val="00E34D7C"/>
    <w:rsid w:val="00E35B70"/>
    <w:rsid w:val="00E35F9E"/>
    <w:rsid w:val="00E36043"/>
    <w:rsid w:val="00E3652F"/>
    <w:rsid w:val="00E36C7E"/>
    <w:rsid w:val="00E3723D"/>
    <w:rsid w:val="00E37E6F"/>
    <w:rsid w:val="00E44C89"/>
    <w:rsid w:val="00E45536"/>
    <w:rsid w:val="00E511DF"/>
    <w:rsid w:val="00E51AFE"/>
    <w:rsid w:val="00E51C4F"/>
    <w:rsid w:val="00E54026"/>
    <w:rsid w:val="00E56FB5"/>
    <w:rsid w:val="00E57822"/>
    <w:rsid w:val="00E60061"/>
    <w:rsid w:val="00E61BA2"/>
    <w:rsid w:val="00E629EF"/>
    <w:rsid w:val="00E63586"/>
    <w:rsid w:val="00E63864"/>
    <w:rsid w:val="00E6403F"/>
    <w:rsid w:val="00E64725"/>
    <w:rsid w:val="00E6792E"/>
    <w:rsid w:val="00E7021F"/>
    <w:rsid w:val="00E70C92"/>
    <w:rsid w:val="00E72ABF"/>
    <w:rsid w:val="00E73688"/>
    <w:rsid w:val="00E7417A"/>
    <w:rsid w:val="00E7539D"/>
    <w:rsid w:val="00E770C4"/>
    <w:rsid w:val="00E77ACA"/>
    <w:rsid w:val="00E8030E"/>
    <w:rsid w:val="00E83FC4"/>
    <w:rsid w:val="00E84960"/>
    <w:rsid w:val="00E84C5A"/>
    <w:rsid w:val="00E861DB"/>
    <w:rsid w:val="00E87874"/>
    <w:rsid w:val="00E90A99"/>
    <w:rsid w:val="00E90FA2"/>
    <w:rsid w:val="00E910A6"/>
    <w:rsid w:val="00E93406"/>
    <w:rsid w:val="00E956C5"/>
    <w:rsid w:val="00E95B6A"/>
    <w:rsid w:val="00E95C39"/>
    <w:rsid w:val="00EA0541"/>
    <w:rsid w:val="00EA0847"/>
    <w:rsid w:val="00EA115A"/>
    <w:rsid w:val="00EA2C39"/>
    <w:rsid w:val="00EA35AB"/>
    <w:rsid w:val="00EA35B3"/>
    <w:rsid w:val="00EA4634"/>
    <w:rsid w:val="00EA7B5F"/>
    <w:rsid w:val="00EB0A3C"/>
    <w:rsid w:val="00EB0A96"/>
    <w:rsid w:val="00EB0C85"/>
    <w:rsid w:val="00EB3D43"/>
    <w:rsid w:val="00EB3D78"/>
    <w:rsid w:val="00EB5BE3"/>
    <w:rsid w:val="00EB77F9"/>
    <w:rsid w:val="00EB7C85"/>
    <w:rsid w:val="00EC5769"/>
    <w:rsid w:val="00EC5D6B"/>
    <w:rsid w:val="00EC6486"/>
    <w:rsid w:val="00EC7512"/>
    <w:rsid w:val="00EC7D00"/>
    <w:rsid w:val="00ED02BD"/>
    <w:rsid w:val="00ED0304"/>
    <w:rsid w:val="00ED087C"/>
    <w:rsid w:val="00ED14E9"/>
    <w:rsid w:val="00ED351B"/>
    <w:rsid w:val="00ED3F4A"/>
    <w:rsid w:val="00ED4BAC"/>
    <w:rsid w:val="00EE23F4"/>
    <w:rsid w:val="00EE38FA"/>
    <w:rsid w:val="00EE3E2C"/>
    <w:rsid w:val="00EE466C"/>
    <w:rsid w:val="00EE5D23"/>
    <w:rsid w:val="00EE6B77"/>
    <w:rsid w:val="00EE750D"/>
    <w:rsid w:val="00EE7D01"/>
    <w:rsid w:val="00EF3C37"/>
    <w:rsid w:val="00EF3CA4"/>
    <w:rsid w:val="00EF5E1F"/>
    <w:rsid w:val="00EF69E9"/>
    <w:rsid w:val="00EF7859"/>
    <w:rsid w:val="00EF7F92"/>
    <w:rsid w:val="00F01378"/>
    <w:rsid w:val="00F014DA"/>
    <w:rsid w:val="00F018AA"/>
    <w:rsid w:val="00F023CC"/>
    <w:rsid w:val="00F02591"/>
    <w:rsid w:val="00F03C51"/>
    <w:rsid w:val="00F0736C"/>
    <w:rsid w:val="00F07F03"/>
    <w:rsid w:val="00F10663"/>
    <w:rsid w:val="00F11D52"/>
    <w:rsid w:val="00F13212"/>
    <w:rsid w:val="00F136FD"/>
    <w:rsid w:val="00F14273"/>
    <w:rsid w:val="00F1451A"/>
    <w:rsid w:val="00F1528A"/>
    <w:rsid w:val="00F15D8F"/>
    <w:rsid w:val="00F169F6"/>
    <w:rsid w:val="00F17647"/>
    <w:rsid w:val="00F216B8"/>
    <w:rsid w:val="00F22142"/>
    <w:rsid w:val="00F31329"/>
    <w:rsid w:val="00F31427"/>
    <w:rsid w:val="00F32585"/>
    <w:rsid w:val="00F362CD"/>
    <w:rsid w:val="00F3790F"/>
    <w:rsid w:val="00F40819"/>
    <w:rsid w:val="00F418C4"/>
    <w:rsid w:val="00F41DCF"/>
    <w:rsid w:val="00F45B94"/>
    <w:rsid w:val="00F47798"/>
    <w:rsid w:val="00F479D5"/>
    <w:rsid w:val="00F50187"/>
    <w:rsid w:val="00F50B04"/>
    <w:rsid w:val="00F50DFB"/>
    <w:rsid w:val="00F51F16"/>
    <w:rsid w:val="00F53E4D"/>
    <w:rsid w:val="00F54A03"/>
    <w:rsid w:val="00F567FF"/>
    <w:rsid w:val="00F5696E"/>
    <w:rsid w:val="00F60EFF"/>
    <w:rsid w:val="00F62958"/>
    <w:rsid w:val="00F641E7"/>
    <w:rsid w:val="00F67D2D"/>
    <w:rsid w:val="00F70155"/>
    <w:rsid w:val="00F70FE7"/>
    <w:rsid w:val="00F721F5"/>
    <w:rsid w:val="00F72DCE"/>
    <w:rsid w:val="00F73889"/>
    <w:rsid w:val="00F74018"/>
    <w:rsid w:val="00F80735"/>
    <w:rsid w:val="00F8164A"/>
    <w:rsid w:val="00F83C84"/>
    <w:rsid w:val="00F84289"/>
    <w:rsid w:val="00F8599D"/>
    <w:rsid w:val="00F860CC"/>
    <w:rsid w:val="00F86D4C"/>
    <w:rsid w:val="00F86E96"/>
    <w:rsid w:val="00F90858"/>
    <w:rsid w:val="00F912A9"/>
    <w:rsid w:val="00F928BB"/>
    <w:rsid w:val="00F94398"/>
    <w:rsid w:val="00F954E8"/>
    <w:rsid w:val="00FA0BE8"/>
    <w:rsid w:val="00FA228B"/>
    <w:rsid w:val="00FA238A"/>
    <w:rsid w:val="00FA4629"/>
    <w:rsid w:val="00FA598B"/>
    <w:rsid w:val="00FA64B4"/>
    <w:rsid w:val="00FA6B6D"/>
    <w:rsid w:val="00FB035B"/>
    <w:rsid w:val="00FB08F2"/>
    <w:rsid w:val="00FB0A2D"/>
    <w:rsid w:val="00FB0AA5"/>
    <w:rsid w:val="00FB0DBF"/>
    <w:rsid w:val="00FB2596"/>
    <w:rsid w:val="00FB2629"/>
    <w:rsid w:val="00FB2B56"/>
    <w:rsid w:val="00FB4C67"/>
    <w:rsid w:val="00FB4DBF"/>
    <w:rsid w:val="00FB4E3A"/>
    <w:rsid w:val="00FB5318"/>
    <w:rsid w:val="00FB7EB6"/>
    <w:rsid w:val="00FC1299"/>
    <w:rsid w:val="00FC12BF"/>
    <w:rsid w:val="00FC16A5"/>
    <w:rsid w:val="00FC16BC"/>
    <w:rsid w:val="00FC19C7"/>
    <w:rsid w:val="00FC1A7C"/>
    <w:rsid w:val="00FC2C60"/>
    <w:rsid w:val="00FC302E"/>
    <w:rsid w:val="00FC3FFF"/>
    <w:rsid w:val="00FC4637"/>
    <w:rsid w:val="00FC64AB"/>
    <w:rsid w:val="00FD0815"/>
    <w:rsid w:val="00FD08CA"/>
    <w:rsid w:val="00FD2C5D"/>
    <w:rsid w:val="00FD2D64"/>
    <w:rsid w:val="00FD3E6F"/>
    <w:rsid w:val="00FD45C4"/>
    <w:rsid w:val="00FD51B9"/>
    <w:rsid w:val="00FD575A"/>
    <w:rsid w:val="00FD6EDD"/>
    <w:rsid w:val="00FD74CA"/>
    <w:rsid w:val="00FE03DC"/>
    <w:rsid w:val="00FE05BD"/>
    <w:rsid w:val="00FE075F"/>
    <w:rsid w:val="00FE0766"/>
    <w:rsid w:val="00FE110B"/>
    <w:rsid w:val="00FE2A39"/>
    <w:rsid w:val="00FE2EF6"/>
    <w:rsid w:val="00FE44DE"/>
    <w:rsid w:val="00FE57F5"/>
    <w:rsid w:val="00FE6ED9"/>
    <w:rsid w:val="00FE6FBA"/>
    <w:rsid w:val="00FF0BAA"/>
    <w:rsid w:val="00FF2955"/>
    <w:rsid w:val="00FF39CF"/>
    <w:rsid w:val="00FF3E05"/>
    <w:rsid w:val="00FF7159"/>
    <w:rsid w:val="00FF792F"/>
    <w:rsid w:val="00FF7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5E8408"/>
  <w15:docId w15:val="{47AA2448-307A-4AD7-9E55-3F7215FB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65D"/>
    <w:rPr>
      <w:rFonts w:ascii="Lato" w:hAnsi="Lato"/>
    </w:rPr>
  </w:style>
  <w:style w:type="paragraph" w:styleId="Heading1">
    <w:name w:val="heading 1"/>
    <w:aliases w:val="2Heading 1,BaHeading 1,A2 Heading 1"/>
    <w:basedOn w:val="Normal"/>
    <w:next w:val="Normal"/>
    <w:link w:val="Heading1Char"/>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9"/>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D24B1D"/>
    <w:pPr>
      <w:numPr>
        <w:ilvl w:val="2"/>
        <w:numId w:val="3"/>
      </w:numPr>
      <w:spacing w:before="240"/>
      <w:outlineLvl w:val="2"/>
    </w:pPr>
    <w:rPr>
      <w:rFonts w:asciiTheme="majorHAnsi" w:hAnsiTheme="majorHAnsi" w:cs="Arial"/>
      <w:bCs/>
      <w:color w:val="1F1F5F" w:themeColor="text1"/>
      <w:sz w:val="24"/>
      <w:szCs w:val="28"/>
    </w:rPr>
  </w:style>
  <w:style w:type="paragraph" w:styleId="Heading4">
    <w:name w:val="heading 4"/>
    <w:basedOn w:val="Normal"/>
    <w:next w:val="Normal"/>
    <w:link w:val="Heading4Char"/>
    <w:uiPriority w:val="2"/>
    <w:qFormat/>
    <w:rsid w:val="00D24B1D"/>
    <w:pPr>
      <w:outlineLvl w:val="3"/>
    </w:pPr>
    <w:rPr>
      <w:rFonts w:asciiTheme="majorHAnsi" w:hAnsiTheme="majorHAnsi" w:cstheme="majorBidi"/>
      <w:b/>
      <w:bCs/>
      <w:iCs/>
      <w:lang w:eastAsia="en-AU"/>
    </w:rPr>
  </w:style>
  <w:style w:type="paragraph" w:styleId="Heading5">
    <w:name w:val="heading 5"/>
    <w:basedOn w:val="Normal"/>
    <w:next w:val="Normal"/>
    <w:link w:val="Heading5Char"/>
    <w:uiPriority w:val="2"/>
    <w:semiHidden/>
    <w:rsid w:val="00C5584B"/>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aliases w:val="2Heading 1 Char,BaHeading 1 Char,A2 Heading 1 Char"/>
    <w:basedOn w:val="DefaultParagraphFont"/>
    <w:link w:val="Heading1"/>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9"/>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D24B1D"/>
    <w:rPr>
      <w:rFonts w:asciiTheme="majorHAnsi" w:hAnsiTheme="majorHAnsi" w:cs="Arial"/>
      <w:bCs/>
      <w:color w:val="1F1F5F" w:themeColor="text1"/>
      <w:sz w:val="24"/>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99"/>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D24B1D"/>
    <w:rPr>
      <w:rFonts w:asciiTheme="majorHAnsi" w:hAnsiTheme="majorHAnsi" w:cstheme="majorBidi"/>
      <w:b/>
      <w:bCs/>
      <w:iCs/>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unhideWhenUsed/>
    <w:rsid w:val="000B6E48"/>
    <w:pPr>
      <w:spacing w:after="0"/>
    </w:pPr>
    <w:rPr>
      <w:sz w:val="20"/>
      <w:szCs w:val="20"/>
    </w:rPr>
  </w:style>
  <w:style w:type="character" w:customStyle="1" w:styleId="FootnoteTextChar">
    <w:name w:val="Footnote Text Char"/>
    <w:basedOn w:val="DefaultParagraphFont"/>
    <w:link w:val="FootnoteText"/>
    <w:uiPriority w:val="99"/>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paragraph" w:customStyle="1" w:styleId="z1BodyTextIn">
    <w:name w:val="z1 Body Text In"/>
    <w:basedOn w:val="BodyText"/>
    <w:qFormat/>
    <w:rsid w:val="00B22752"/>
    <w:pPr>
      <w:keepLines/>
      <w:suppressAutoHyphens/>
      <w:spacing w:before="120" w:line="260" w:lineRule="atLeast"/>
      <w:ind w:left="720"/>
      <w:jc w:val="both"/>
    </w:pPr>
    <w:rPr>
      <w:rFonts w:ascii="Microsoft Sans Serif" w:eastAsia="Times New Roman" w:hAnsi="Microsoft Sans Serif"/>
      <w:sz w:val="20"/>
      <w:szCs w:val="20"/>
    </w:rPr>
  </w:style>
  <w:style w:type="character" w:styleId="CommentReference">
    <w:name w:val="annotation reference"/>
    <w:basedOn w:val="DefaultParagraphFont"/>
    <w:uiPriority w:val="99"/>
    <w:semiHidden/>
    <w:unhideWhenUsed/>
    <w:rsid w:val="00F73889"/>
    <w:rPr>
      <w:sz w:val="16"/>
      <w:szCs w:val="16"/>
    </w:rPr>
  </w:style>
  <w:style w:type="paragraph" w:styleId="BalloonText">
    <w:name w:val="Balloon Text"/>
    <w:basedOn w:val="Normal"/>
    <w:link w:val="BalloonTextChar"/>
    <w:uiPriority w:val="99"/>
    <w:semiHidden/>
    <w:unhideWhenUsed/>
    <w:rsid w:val="00B8161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611"/>
    <w:rPr>
      <w:rFonts w:ascii="Segoe UI" w:hAnsi="Segoe UI" w:cs="Segoe UI"/>
      <w:sz w:val="18"/>
      <w:szCs w:val="18"/>
    </w:rPr>
  </w:style>
  <w:style w:type="paragraph" w:styleId="CommentText">
    <w:name w:val="annotation text"/>
    <w:basedOn w:val="Normal"/>
    <w:link w:val="CommentTextChar"/>
    <w:uiPriority w:val="99"/>
    <w:semiHidden/>
    <w:unhideWhenUsed/>
    <w:rsid w:val="00FF7EE8"/>
    <w:rPr>
      <w:sz w:val="20"/>
      <w:szCs w:val="20"/>
    </w:rPr>
  </w:style>
  <w:style w:type="character" w:customStyle="1" w:styleId="CommentTextChar">
    <w:name w:val="Comment Text Char"/>
    <w:basedOn w:val="DefaultParagraphFont"/>
    <w:link w:val="CommentText"/>
    <w:uiPriority w:val="99"/>
    <w:semiHidden/>
    <w:rsid w:val="00FF7EE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F7EE8"/>
    <w:rPr>
      <w:b/>
      <w:bCs/>
    </w:rPr>
  </w:style>
  <w:style w:type="character" w:customStyle="1" w:styleId="CommentSubjectChar">
    <w:name w:val="Comment Subject Char"/>
    <w:basedOn w:val="CommentTextChar"/>
    <w:link w:val="CommentSubject"/>
    <w:uiPriority w:val="99"/>
    <w:semiHidden/>
    <w:rsid w:val="00FF7EE8"/>
    <w:rPr>
      <w:rFonts w:ascii="Lato" w:hAnsi="Lato"/>
      <w:b/>
      <w:bCs/>
      <w:sz w:val="20"/>
      <w:szCs w:val="20"/>
    </w:rPr>
  </w:style>
  <w:style w:type="paragraph" w:styleId="Revision">
    <w:name w:val="Revision"/>
    <w:hidden/>
    <w:uiPriority w:val="99"/>
    <w:semiHidden/>
    <w:rsid w:val="00F1528A"/>
    <w:pPr>
      <w:spacing w:after="0"/>
    </w:pPr>
    <w:rPr>
      <w:rFonts w:ascii="Lato" w:hAnsi="Lato"/>
    </w:rPr>
  </w:style>
  <w:style w:type="paragraph" w:customStyle="1" w:styleId="Body">
    <w:name w:val="Body"/>
    <w:link w:val="BodyChar"/>
    <w:qFormat/>
    <w:rsid w:val="00D70070"/>
    <w:pPr>
      <w:spacing w:before="60" w:after="120" w:line="280" w:lineRule="atLeast"/>
    </w:pPr>
    <w:rPr>
      <w:rFonts w:eastAsia="Times New Roman"/>
      <w:sz w:val="20"/>
      <w:szCs w:val="20"/>
    </w:rPr>
  </w:style>
  <w:style w:type="table" w:customStyle="1" w:styleId="GHDTable">
    <w:name w:val="GHD_Table"/>
    <w:basedOn w:val="TableNormal"/>
    <w:uiPriority w:val="99"/>
    <w:rsid w:val="00D70070"/>
    <w:pPr>
      <w:spacing w:after="0"/>
    </w:pPr>
    <w:rPr>
      <w:rFonts w:eastAsia="Times New Roman"/>
      <w:sz w:val="20"/>
      <w:szCs w:val="20"/>
      <w:lang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85" w:type="dxa"/>
        <w:bottom w:w="28" w:type="dxa"/>
        <w:right w:w="85" w:type="dxa"/>
      </w:tblCellMar>
    </w:tblPr>
    <w:tcPr>
      <w:shd w:val="clear" w:color="auto" w:fill="DBF2F3"/>
    </w:tcPr>
    <w:tblStylePr w:type="firstRow">
      <w:pPr>
        <w:wordWrap/>
        <w:spacing w:beforeLines="0" w:before="60" w:beforeAutospacing="0" w:afterLines="0" w:after="60" w:afterAutospacing="0" w:line="240" w:lineRule="auto"/>
      </w:pPr>
      <w:rPr>
        <w:rFonts w:ascii="Arial Bold" w:hAnsi="Arial Bold"/>
        <w:b/>
        <w:color w:val="FFFFFF" w:themeColor="background1"/>
        <w:sz w:val="20"/>
      </w:rPr>
      <w:tblPr/>
      <w:trPr>
        <w:tblHeader/>
      </w:trPr>
      <w:tcPr>
        <w:shd w:val="clear" w:color="auto" w:fill="009BAC"/>
        <w:vAlign w:val="center"/>
      </w:tcPr>
    </w:tblStylePr>
  </w:style>
  <w:style w:type="character" w:customStyle="1" w:styleId="BodyChar">
    <w:name w:val="Body Char"/>
    <w:link w:val="Body"/>
    <w:rsid w:val="00D70070"/>
    <w:rPr>
      <w:rFonts w:eastAsia="Times New Roman"/>
      <w:sz w:val="20"/>
      <w:szCs w:val="20"/>
    </w:rPr>
  </w:style>
  <w:style w:type="paragraph" w:customStyle="1" w:styleId="DashorBullet">
    <w:name w:val="Dash or Bullet"/>
    <w:basedOn w:val="Normal"/>
    <w:semiHidden/>
    <w:qFormat/>
    <w:rsid w:val="00621A4F"/>
    <w:pPr>
      <w:keepNext/>
      <w:numPr>
        <w:numId w:val="14"/>
      </w:numPr>
      <w:spacing w:before="120" w:after="80"/>
      <w:ind w:left="284" w:hanging="284"/>
    </w:pPr>
    <w:rPr>
      <w:rFonts w:ascii="Arial" w:eastAsia="Times New Roman" w:hAnsi="Arial"/>
      <w:sz w:val="20"/>
      <w:szCs w:val="20"/>
    </w:rPr>
  </w:style>
  <w:style w:type="paragraph" w:customStyle="1" w:styleId="Dash">
    <w:name w:val="Dash"/>
    <w:basedOn w:val="Normal"/>
    <w:semiHidden/>
    <w:rsid w:val="00621A4F"/>
    <w:pPr>
      <w:keepNext/>
      <w:numPr>
        <w:ilvl w:val="1"/>
        <w:numId w:val="14"/>
      </w:numPr>
      <w:spacing w:after="80"/>
      <w:ind w:left="454" w:hanging="170"/>
    </w:pPr>
    <w:rPr>
      <w:rFonts w:ascii="Arial" w:eastAsia="Times New Roman" w:hAnsi="Arial"/>
      <w:sz w:val="20"/>
      <w:szCs w:val="20"/>
    </w:rPr>
  </w:style>
  <w:style w:type="paragraph" w:styleId="Bibliography">
    <w:name w:val="Bibliography"/>
    <w:basedOn w:val="Normal"/>
    <w:next w:val="Normal"/>
    <w:semiHidden/>
    <w:rsid w:val="00621A4F"/>
    <w:pPr>
      <w:spacing w:after="0"/>
    </w:pPr>
    <w:rPr>
      <w:rFonts w:ascii="Arial" w:eastAsia="Times New Roman" w:hAnsi="Arial"/>
      <w:sz w:val="20"/>
      <w:szCs w:val="20"/>
    </w:rPr>
  </w:style>
  <w:style w:type="paragraph" w:customStyle="1" w:styleId="TableBody">
    <w:name w:val="Table Body"/>
    <w:aliases w:val="tb"/>
    <w:basedOn w:val="Normal"/>
    <w:qFormat/>
    <w:rsid w:val="00CC1CA1"/>
    <w:pPr>
      <w:spacing w:after="0"/>
    </w:pPr>
    <w:rPr>
      <w:rFonts w:ascii="Arial" w:eastAsia="Times New Roman" w:hAnsi="Arial"/>
      <w:sz w:val="20"/>
      <w:szCs w:val="20"/>
    </w:rPr>
  </w:style>
  <w:style w:type="paragraph" w:styleId="TOC5">
    <w:name w:val="toc 5"/>
    <w:basedOn w:val="Normal"/>
    <w:next w:val="Normal"/>
    <w:autoRedefine/>
    <w:uiPriority w:val="39"/>
    <w:unhideWhenUsed/>
    <w:rsid w:val="0035005A"/>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35005A"/>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35005A"/>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35005A"/>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35005A"/>
    <w:pPr>
      <w:spacing w:after="100" w:line="259" w:lineRule="auto"/>
      <w:ind w:left="1760"/>
    </w:pPr>
    <w:rPr>
      <w:rFonts w:asciiTheme="minorHAnsi" w:eastAsiaTheme="minorEastAsia" w:hAnsiTheme="minorHAnsi" w:cstheme="minorBid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93266149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087608350">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electricityreform@nt.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sv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7" Type="http://schemas.openxmlformats.org/officeDocument/2006/relationships/theme" Target="theme/theme1.xml"/><Relationship Id="rId3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7\AppData\Local\Microsoft\Windows\INetCache\IE\8ZKT38DT\ntg-long-block-template_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9E82C88A4943B5B71088A57D3981B9"/>
        <w:category>
          <w:name w:val="General"/>
          <w:gallery w:val="placeholder"/>
        </w:category>
        <w:types>
          <w:type w:val="bbPlcHdr"/>
        </w:types>
        <w:behaviors>
          <w:behavior w:val="content"/>
        </w:behaviors>
        <w:guid w:val="{97079B36-E17C-4EDC-9819-15185E1DBC59}"/>
      </w:docPartPr>
      <w:docPartBody>
        <w:p w:rsidR="00FD1A62" w:rsidRDefault="00FD1A62">
          <w:pPr>
            <w:pStyle w:val="059E82C88A4943B5B71088A57D3981B9"/>
          </w:pPr>
          <w:r>
            <w:t>&lt;Document title&gt;</w:t>
          </w:r>
        </w:p>
      </w:docPartBody>
    </w:docPart>
    <w:docPart>
      <w:docPartPr>
        <w:name w:val="F79D73C68A4748CDB3E427EE38EB82CB"/>
        <w:category>
          <w:name w:val="General"/>
          <w:gallery w:val="placeholder"/>
        </w:category>
        <w:types>
          <w:type w:val="bbPlcHdr"/>
        </w:types>
        <w:behaviors>
          <w:behavior w:val="content"/>
        </w:behaviors>
        <w:guid w:val="{A5D94648-274D-4EE6-82A6-F4CAB0E72FFB}"/>
      </w:docPartPr>
      <w:docPartBody>
        <w:p w:rsidR="00FD1A62" w:rsidRDefault="00FD1A62">
          <w:pPr>
            <w:pStyle w:val="F79D73C68A4748CDB3E427EE38EB82CB"/>
          </w:pPr>
          <w:r w:rsidRPr="004E7885">
            <w:rPr>
              <w:rStyle w:val="PlaceholderText"/>
            </w:rPr>
            <w:t>&lt;Document title&gt;</w:t>
          </w:r>
        </w:p>
      </w:docPartBody>
    </w:docPart>
    <w:docPart>
      <w:docPartPr>
        <w:name w:val="F2F1CA4FEC854383BF092702980B269D"/>
        <w:category>
          <w:name w:val="General"/>
          <w:gallery w:val="placeholder"/>
        </w:category>
        <w:types>
          <w:type w:val="bbPlcHdr"/>
        </w:types>
        <w:behaviors>
          <w:behavior w:val="content"/>
        </w:behaviors>
        <w:guid w:val="{556F1023-794C-4223-BF3A-97C68349ABD7}"/>
      </w:docPartPr>
      <w:docPartBody>
        <w:p w:rsidR="009A2260" w:rsidRDefault="009A2260" w:rsidP="009A2260">
          <w:pPr>
            <w:pStyle w:val="F2F1CA4FEC854383BF092702980B269D"/>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62"/>
    <w:rsid w:val="0003746A"/>
    <w:rsid w:val="0009386F"/>
    <w:rsid w:val="000A0DEA"/>
    <w:rsid w:val="001B7C71"/>
    <w:rsid w:val="00214A8B"/>
    <w:rsid w:val="003111CD"/>
    <w:rsid w:val="003232EC"/>
    <w:rsid w:val="00375F07"/>
    <w:rsid w:val="003C69EF"/>
    <w:rsid w:val="00405690"/>
    <w:rsid w:val="00471223"/>
    <w:rsid w:val="004F73FD"/>
    <w:rsid w:val="0056729E"/>
    <w:rsid w:val="005E70D1"/>
    <w:rsid w:val="006404C4"/>
    <w:rsid w:val="006705DA"/>
    <w:rsid w:val="0074466B"/>
    <w:rsid w:val="007F2128"/>
    <w:rsid w:val="00863498"/>
    <w:rsid w:val="008655AE"/>
    <w:rsid w:val="008B4553"/>
    <w:rsid w:val="008B7C00"/>
    <w:rsid w:val="008C7897"/>
    <w:rsid w:val="00975DE7"/>
    <w:rsid w:val="009A2260"/>
    <w:rsid w:val="009B46EA"/>
    <w:rsid w:val="009F57FE"/>
    <w:rsid w:val="00AA3035"/>
    <w:rsid w:val="00AB7655"/>
    <w:rsid w:val="00B01707"/>
    <w:rsid w:val="00B1169A"/>
    <w:rsid w:val="00C33485"/>
    <w:rsid w:val="00CC7ABF"/>
    <w:rsid w:val="00D70D7C"/>
    <w:rsid w:val="00DB1A4E"/>
    <w:rsid w:val="00F50C0C"/>
    <w:rsid w:val="00FD1A62"/>
    <w:rsid w:val="00FE3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9E82C88A4943B5B71088A57D3981B9">
    <w:name w:val="059E82C88A4943B5B71088A57D3981B9"/>
  </w:style>
  <w:style w:type="character" w:styleId="PlaceholderText">
    <w:name w:val="Placeholder Text"/>
    <w:basedOn w:val="DefaultParagraphFont"/>
    <w:uiPriority w:val="99"/>
    <w:semiHidden/>
    <w:rsid w:val="009A2260"/>
    <w:rPr>
      <w:color w:val="808080"/>
    </w:rPr>
  </w:style>
  <w:style w:type="paragraph" w:customStyle="1" w:styleId="F79D73C68A4748CDB3E427EE38EB82CB">
    <w:name w:val="F79D73C68A4748CDB3E427EE38EB82CB"/>
  </w:style>
  <w:style w:type="paragraph" w:customStyle="1" w:styleId="AE732882225D421D824F4205739E3506">
    <w:name w:val="AE732882225D421D824F4205739E3506"/>
    <w:rsid w:val="00471223"/>
  </w:style>
  <w:style w:type="paragraph" w:customStyle="1" w:styleId="26B172B949E84A7E9BD4A87CD910E906">
    <w:name w:val="26B172B949E84A7E9BD4A87CD910E906"/>
    <w:rsid w:val="006705DA"/>
  </w:style>
  <w:style w:type="paragraph" w:customStyle="1" w:styleId="4C461B52F92F4D6E84FB9041BFE69DAF">
    <w:name w:val="4C461B52F92F4D6E84FB9041BFE69DAF"/>
    <w:rsid w:val="009A2260"/>
  </w:style>
  <w:style w:type="paragraph" w:customStyle="1" w:styleId="39367DA700B947C3BB52EA8607AB4010">
    <w:name w:val="39367DA700B947C3BB52EA8607AB4010"/>
    <w:rsid w:val="009A2260"/>
  </w:style>
  <w:style w:type="paragraph" w:customStyle="1" w:styleId="F094B7BD81914D6DBFCB1749CD4AA9D3">
    <w:name w:val="F094B7BD81914D6DBFCB1749CD4AA9D3"/>
    <w:rsid w:val="009A2260"/>
  </w:style>
  <w:style w:type="paragraph" w:customStyle="1" w:styleId="C0D8D417955B4CE7B6063153B532A2BC">
    <w:name w:val="C0D8D417955B4CE7B6063153B532A2BC"/>
    <w:rsid w:val="009A2260"/>
  </w:style>
  <w:style w:type="paragraph" w:customStyle="1" w:styleId="0C82AB12EA19429D99C7A32B03D08225">
    <w:name w:val="0C82AB12EA19429D99C7A32B03D08225"/>
    <w:rsid w:val="009A2260"/>
  </w:style>
  <w:style w:type="paragraph" w:customStyle="1" w:styleId="F2F1CA4FEC854383BF092702980B269D">
    <w:name w:val="F2F1CA4FEC854383BF092702980B269D"/>
    <w:rsid w:val="009A2260"/>
  </w:style>
  <w:style w:type="paragraph" w:customStyle="1" w:styleId="498CF7C6B3144078AD4AD023741FDD06">
    <w:name w:val="498CF7C6B3144078AD4AD023741FDD06"/>
    <w:rsid w:val="009A2260"/>
  </w:style>
  <w:style w:type="paragraph" w:customStyle="1" w:styleId="624FF0882FCB458F94CB4408962F220C">
    <w:name w:val="624FF0882FCB458F94CB4408962F220C"/>
    <w:rsid w:val="009A2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E66F33-1902-417C-B17C-7EF76E49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ntg-long-block-template_7.dotx</Template>
  <TotalTime>22</TotalTime>
  <Pages>66</Pages>
  <Words>26356</Words>
  <Characters>150230</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NTEM Priority Reform Program: Review of essential system services</vt:lpstr>
    </vt:vector>
  </TitlesOfParts>
  <Company>INDUSTRY, TOURISM AND TRADE</Company>
  <LinksUpToDate>false</LinksUpToDate>
  <CharactersWithSpaces>176234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NTEM Priority Reform Program: Review of essential system services</dc:title>
  <dc:creator>Northern Territory Government</dc:creator>
  <cp:lastModifiedBy>Marlene Woods</cp:lastModifiedBy>
  <cp:revision>6</cp:revision>
  <cp:lastPrinted>2021-01-19T01:49:00Z</cp:lastPrinted>
  <dcterms:created xsi:type="dcterms:W3CDTF">2021-01-21T02:48:00Z</dcterms:created>
  <dcterms:modified xsi:type="dcterms:W3CDTF">2021-01-29T06:23:00Z</dcterms:modified>
</cp:coreProperties>
</file>