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TGtable"/>
        <w:tblW w:w="15369" w:type="dxa"/>
        <w:tblLayout w:type="fixed"/>
        <w:tblLook w:val="04A0" w:firstRow="1" w:lastRow="0" w:firstColumn="1" w:lastColumn="0" w:noHBand="0" w:noVBand="1"/>
      </w:tblPr>
      <w:tblGrid>
        <w:gridCol w:w="1923"/>
        <w:gridCol w:w="1930"/>
        <w:gridCol w:w="5214"/>
        <w:gridCol w:w="1191"/>
        <w:gridCol w:w="1191"/>
        <w:gridCol w:w="1306"/>
        <w:gridCol w:w="1307"/>
        <w:gridCol w:w="1307"/>
      </w:tblGrid>
      <w:tr w:rsidR="00D330A5" w:rsidRPr="001D4D1C" w14:paraId="1452383B" w14:textId="77777777" w:rsidTr="00D330A5">
        <w:trPr>
          <w:cnfStyle w:val="100000000000" w:firstRow="1" w:lastRow="0" w:firstColumn="0" w:lastColumn="0" w:oddVBand="0" w:evenVBand="0" w:oddHBand="0" w:evenHBand="0" w:firstRowFirstColumn="0" w:firstRowLastColumn="0" w:lastRowFirstColumn="0" w:lastRowLastColumn="0"/>
          <w:trHeight w:val="1050"/>
        </w:trPr>
        <w:tc>
          <w:tcPr>
            <w:cnfStyle w:val="001000000100" w:firstRow="0" w:lastRow="0" w:firstColumn="1" w:lastColumn="0" w:oddVBand="0" w:evenVBand="0" w:oddHBand="0" w:evenHBand="0" w:firstRowFirstColumn="1" w:firstRowLastColumn="0" w:lastRowFirstColumn="0" w:lastRowLastColumn="0"/>
            <w:tcW w:w="1923" w:type="dxa"/>
            <w:hideMark/>
          </w:tcPr>
          <w:p w14:paraId="628DBB28" w14:textId="77777777" w:rsidR="00D330A5" w:rsidRPr="001D4D1C" w:rsidRDefault="00D330A5" w:rsidP="007F03D1">
            <w:pPr>
              <w:spacing w:after="0"/>
              <w:rPr>
                <w:rFonts w:eastAsia="Times New Roman"/>
                <w:b w:val="0"/>
                <w:bCs/>
                <w:color w:val="FFFFFF"/>
                <w:sz w:val="18"/>
                <w:szCs w:val="18"/>
              </w:rPr>
            </w:pPr>
            <w:r w:rsidRPr="001D4D1C">
              <w:rPr>
                <w:rFonts w:eastAsia="Times New Roman"/>
                <w:bCs/>
                <w:color w:val="FFFFFF"/>
                <w:sz w:val="18"/>
                <w:szCs w:val="18"/>
              </w:rPr>
              <w:t>Output group</w:t>
            </w:r>
          </w:p>
        </w:tc>
        <w:tc>
          <w:tcPr>
            <w:tcW w:w="1930" w:type="dxa"/>
            <w:hideMark/>
          </w:tcPr>
          <w:p w14:paraId="7251C891" w14:textId="77777777" w:rsidR="00D330A5" w:rsidRPr="001D4D1C" w:rsidRDefault="00D330A5" w:rsidP="007F03D1">
            <w:pPr>
              <w:spacing w:after="0"/>
              <w:cnfStyle w:val="100000000000" w:firstRow="1" w:lastRow="0" w:firstColumn="0" w:lastColumn="0" w:oddVBand="0" w:evenVBand="0" w:oddHBand="0" w:evenHBand="0" w:firstRowFirstColumn="0" w:firstRowLastColumn="0" w:lastRowFirstColumn="0" w:lastRowLastColumn="0"/>
              <w:rPr>
                <w:rFonts w:eastAsia="Times New Roman"/>
                <w:b w:val="0"/>
                <w:bCs/>
                <w:color w:val="FFFFFF"/>
                <w:sz w:val="18"/>
                <w:szCs w:val="18"/>
              </w:rPr>
            </w:pPr>
            <w:r w:rsidRPr="001D4D1C">
              <w:rPr>
                <w:rFonts w:eastAsia="Times New Roman"/>
                <w:bCs/>
                <w:color w:val="FFFFFF"/>
                <w:sz w:val="18"/>
                <w:szCs w:val="18"/>
              </w:rPr>
              <w:t>Topic of information</w:t>
            </w:r>
          </w:p>
        </w:tc>
        <w:tc>
          <w:tcPr>
            <w:tcW w:w="5214" w:type="dxa"/>
            <w:hideMark/>
          </w:tcPr>
          <w:p w14:paraId="4688571D" w14:textId="77777777" w:rsidR="00D330A5" w:rsidRPr="001D4D1C" w:rsidRDefault="00D330A5" w:rsidP="007F03D1">
            <w:pPr>
              <w:spacing w:after="0"/>
              <w:cnfStyle w:val="100000000000" w:firstRow="1" w:lastRow="0" w:firstColumn="0" w:lastColumn="0" w:oddVBand="0" w:evenVBand="0" w:oddHBand="0" w:evenHBand="0" w:firstRowFirstColumn="0" w:firstRowLastColumn="0" w:lastRowFirstColumn="0" w:lastRowLastColumn="0"/>
              <w:rPr>
                <w:rFonts w:eastAsia="Times New Roman"/>
                <w:b w:val="0"/>
                <w:bCs/>
                <w:color w:val="FFFFFF"/>
                <w:sz w:val="18"/>
                <w:szCs w:val="18"/>
              </w:rPr>
            </w:pPr>
            <w:r w:rsidRPr="001D4D1C">
              <w:rPr>
                <w:rFonts w:eastAsia="Times New Roman"/>
                <w:bCs/>
                <w:color w:val="FFFFFF"/>
                <w:sz w:val="18"/>
                <w:szCs w:val="18"/>
              </w:rPr>
              <w:t>Description of information</w:t>
            </w:r>
          </w:p>
        </w:tc>
        <w:tc>
          <w:tcPr>
            <w:tcW w:w="1191" w:type="dxa"/>
            <w:hideMark/>
          </w:tcPr>
          <w:p w14:paraId="7782D7DC" w14:textId="77777777" w:rsidR="00D330A5" w:rsidRPr="001D4D1C" w:rsidRDefault="00D330A5" w:rsidP="007F03D1">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b w:val="0"/>
                <w:bCs/>
                <w:color w:val="FFFFFF"/>
                <w:sz w:val="18"/>
                <w:szCs w:val="18"/>
              </w:rPr>
            </w:pPr>
            <w:r w:rsidRPr="001D4D1C">
              <w:rPr>
                <w:rFonts w:eastAsia="Times New Roman"/>
                <w:bCs/>
                <w:color w:val="FFFFFF"/>
                <w:sz w:val="18"/>
                <w:szCs w:val="18"/>
              </w:rPr>
              <w:t>Includes personal information</w:t>
            </w:r>
          </w:p>
        </w:tc>
        <w:tc>
          <w:tcPr>
            <w:tcW w:w="1191" w:type="dxa"/>
            <w:hideMark/>
          </w:tcPr>
          <w:p w14:paraId="71A01B70" w14:textId="77777777" w:rsidR="00D330A5" w:rsidRPr="001D4D1C" w:rsidRDefault="00D330A5" w:rsidP="007F03D1">
            <w:pPr>
              <w:spacing w:after="0"/>
              <w:cnfStyle w:val="100000000000" w:firstRow="1" w:lastRow="0" w:firstColumn="0" w:lastColumn="0" w:oddVBand="0" w:evenVBand="0" w:oddHBand="0" w:evenHBand="0" w:firstRowFirstColumn="0" w:firstRowLastColumn="0" w:lastRowFirstColumn="0" w:lastRowLastColumn="0"/>
              <w:rPr>
                <w:rFonts w:eastAsia="Times New Roman"/>
                <w:b w:val="0"/>
                <w:bCs/>
                <w:color w:val="FFFFFF"/>
                <w:sz w:val="18"/>
                <w:szCs w:val="18"/>
              </w:rPr>
            </w:pPr>
            <w:r w:rsidRPr="001D4D1C">
              <w:rPr>
                <w:rFonts w:eastAsia="Times New Roman"/>
                <w:bCs/>
                <w:color w:val="FFFFFF"/>
                <w:sz w:val="18"/>
                <w:szCs w:val="18"/>
              </w:rPr>
              <w:t>How is it stored</w:t>
            </w:r>
          </w:p>
        </w:tc>
        <w:tc>
          <w:tcPr>
            <w:tcW w:w="1306" w:type="dxa"/>
            <w:hideMark/>
          </w:tcPr>
          <w:p w14:paraId="26499618" w14:textId="77777777" w:rsidR="00D330A5" w:rsidRPr="001D4D1C" w:rsidRDefault="00D330A5" w:rsidP="007F03D1">
            <w:pPr>
              <w:spacing w:after="0"/>
              <w:cnfStyle w:val="100000000000" w:firstRow="1" w:lastRow="0" w:firstColumn="0" w:lastColumn="0" w:oddVBand="0" w:evenVBand="0" w:oddHBand="0" w:evenHBand="0" w:firstRowFirstColumn="0" w:firstRowLastColumn="0" w:lastRowFirstColumn="0" w:lastRowLastColumn="0"/>
              <w:rPr>
                <w:rFonts w:eastAsia="Times New Roman"/>
                <w:b w:val="0"/>
                <w:bCs/>
                <w:color w:val="FFFFFF"/>
                <w:sz w:val="18"/>
                <w:szCs w:val="18"/>
              </w:rPr>
            </w:pPr>
            <w:r w:rsidRPr="001D4D1C">
              <w:rPr>
                <w:rFonts w:eastAsia="Times New Roman"/>
                <w:bCs/>
                <w:color w:val="FFFFFF"/>
                <w:sz w:val="18"/>
                <w:szCs w:val="18"/>
              </w:rPr>
              <w:t>Section 11 (1)(b)(</w:t>
            </w:r>
            <w:proofErr w:type="spellStart"/>
            <w:r w:rsidRPr="001D4D1C">
              <w:rPr>
                <w:rFonts w:eastAsia="Times New Roman"/>
                <w:bCs/>
                <w:color w:val="FFFFFF"/>
                <w:sz w:val="18"/>
                <w:szCs w:val="18"/>
              </w:rPr>
              <w:t>i</w:t>
            </w:r>
            <w:proofErr w:type="spellEnd"/>
            <w:r w:rsidRPr="001D4D1C">
              <w:rPr>
                <w:rFonts w:eastAsia="Times New Roman"/>
                <w:bCs/>
                <w:color w:val="FFFFFF"/>
                <w:sz w:val="18"/>
                <w:szCs w:val="18"/>
              </w:rPr>
              <w:t xml:space="preserve">) may be inspected under </w:t>
            </w:r>
            <w:proofErr w:type="gramStart"/>
            <w:r w:rsidRPr="001D4D1C">
              <w:rPr>
                <w:rFonts w:eastAsia="Times New Roman"/>
                <w:bCs/>
                <w:color w:val="FFFFFF"/>
                <w:sz w:val="18"/>
                <w:szCs w:val="18"/>
              </w:rPr>
              <w:t>other</w:t>
            </w:r>
            <w:proofErr w:type="gramEnd"/>
            <w:r w:rsidRPr="001D4D1C">
              <w:rPr>
                <w:rFonts w:eastAsia="Times New Roman"/>
                <w:bCs/>
                <w:color w:val="FFFFFF"/>
                <w:sz w:val="18"/>
                <w:szCs w:val="18"/>
              </w:rPr>
              <w:t xml:space="preserve"> Act?</w:t>
            </w:r>
          </w:p>
        </w:tc>
        <w:tc>
          <w:tcPr>
            <w:tcW w:w="1307" w:type="dxa"/>
            <w:hideMark/>
          </w:tcPr>
          <w:p w14:paraId="700FDAAD" w14:textId="77777777" w:rsidR="00D330A5" w:rsidRPr="001D4D1C" w:rsidRDefault="00D330A5" w:rsidP="007F03D1">
            <w:pPr>
              <w:spacing w:after="0"/>
              <w:cnfStyle w:val="100000000000" w:firstRow="1" w:lastRow="0" w:firstColumn="0" w:lastColumn="0" w:oddVBand="0" w:evenVBand="0" w:oddHBand="0" w:evenHBand="0" w:firstRowFirstColumn="0" w:firstRowLastColumn="0" w:lastRowFirstColumn="0" w:lastRowLastColumn="0"/>
              <w:rPr>
                <w:rFonts w:eastAsia="Times New Roman"/>
                <w:b w:val="0"/>
                <w:bCs/>
                <w:color w:val="FFFFFF"/>
                <w:sz w:val="18"/>
                <w:szCs w:val="18"/>
              </w:rPr>
            </w:pPr>
            <w:r w:rsidRPr="001D4D1C">
              <w:rPr>
                <w:rFonts w:eastAsia="Times New Roman"/>
                <w:bCs/>
                <w:color w:val="FFFFFF"/>
                <w:sz w:val="18"/>
                <w:szCs w:val="18"/>
              </w:rPr>
              <w:t>Section 11 (1)(b)(ii) may be purchased?</w:t>
            </w:r>
          </w:p>
        </w:tc>
        <w:tc>
          <w:tcPr>
            <w:tcW w:w="1307" w:type="dxa"/>
            <w:hideMark/>
          </w:tcPr>
          <w:p w14:paraId="2B451563" w14:textId="77777777" w:rsidR="00D330A5" w:rsidRPr="001D4D1C" w:rsidRDefault="00D330A5" w:rsidP="007F03D1">
            <w:pPr>
              <w:spacing w:after="0"/>
              <w:cnfStyle w:val="100000000000" w:firstRow="1" w:lastRow="0" w:firstColumn="0" w:lastColumn="0" w:oddVBand="0" w:evenVBand="0" w:oddHBand="0" w:evenHBand="0" w:firstRowFirstColumn="0" w:firstRowLastColumn="0" w:lastRowFirstColumn="0" w:lastRowLastColumn="0"/>
              <w:rPr>
                <w:rFonts w:eastAsia="Times New Roman"/>
                <w:b w:val="0"/>
                <w:bCs/>
                <w:color w:val="FFFFFF"/>
                <w:sz w:val="18"/>
                <w:szCs w:val="18"/>
              </w:rPr>
            </w:pPr>
            <w:r w:rsidRPr="001D4D1C">
              <w:rPr>
                <w:rFonts w:eastAsia="Times New Roman"/>
                <w:bCs/>
                <w:color w:val="FFFFFF"/>
                <w:sz w:val="18"/>
                <w:szCs w:val="18"/>
              </w:rPr>
              <w:t>Section 11 (1)(b)(iii) distributed free of charge?</w:t>
            </w:r>
          </w:p>
        </w:tc>
      </w:tr>
      <w:tr w:rsidR="00D330A5" w:rsidRPr="001D4D1C" w14:paraId="7A061D53" w14:textId="77777777" w:rsidTr="00D330A5">
        <w:trPr>
          <w:cnfStyle w:val="000000100000" w:firstRow="0" w:lastRow="0" w:firstColumn="0" w:lastColumn="0" w:oddVBand="0" w:evenVBand="0" w:oddHBand="1" w:evenHBand="0" w:firstRowFirstColumn="0" w:firstRowLastColumn="0" w:lastRowFirstColumn="0" w:lastRowLastColumn="0"/>
          <w:trHeight w:val="908"/>
        </w:trPr>
        <w:tc>
          <w:tcPr>
            <w:cnfStyle w:val="001000000000" w:firstRow="0" w:lastRow="0" w:firstColumn="1" w:lastColumn="0" w:oddVBand="0" w:evenVBand="0" w:oddHBand="0" w:evenHBand="0" w:firstRowFirstColumn="0" w:firstRowLastColumn="0" w:lastRowFirstColumn="0" w:lastRowLastColumn="0"/>
            <w:tcW w:w="1923" w:type="dxa"/>
            <w:hideMark/>
          </w:tcPr>
          <w:p w14:paraId="3143EAEE" w14:textId="77777777" w:rsidR="00D330A5" w:rsidRPr="001D4D1C" w:rsidRDefault="00D330A5" w:rsidP="007F03D1">
            <w:pPr>
              <w:spacing w:before="69" w:after="69"/>
              <w:rPr>
                <w:rFonts w:eastAsia="Times New Roman"/>
                <w:b/>
                <w:bCs/>
                <w:sz w:val="18"/>
                <w:szCs w:val="18"/>
              </w:rPr>
            </w:pPr>
            <w:r w:rsidRPr="001D4D1C">
              <w:rPr>
                <w:rFonts w:eastAsia="Times New Roman"/>
                <w:b/>
                <w:bCs/>
                <w:sz w:val="18"/>
                <w:szCs w:val="18"/>
              </w:rPr>
              <w:t>Mining and Energy</w:t>
            </w:r>
          </w:p>
        </w:tc>
        <w:tc>
          <w:tcPr>
            <w:tcW w:w="1930" w:type="dxa"/>
            <w:hideMark/>
          </w:tcPr>
          <w:p w14:paraId="1598687B" w14:textId="77777777" w:rsidR="00D330A5" w:rsidRPr="001D4D1C" w:rsidRDefault="00D330A5"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D4D1C">
              <w:rPr>
                <w:rFonts w:eastAsia="Times New Roman"/>
                <w:sz w:val="18"/>
                <w:szCs w:val="18"/>
              </w:rPr>
              <w:t>Geology</w:t>
            </w:r>
          </w:p>
        </w:tc>
        <w:tc>
          <w:tcPr>
            <w:tcW w:w="5214" w:type="dxa"/>
            <w:hideMark/>
          </w:tcPr>
          <w:p w14:paraId="12ECFD1F" w14:textId="77777777" w:rsidR="00D330A5" w:rsidRPr="001D4D1C" w:rsidRDefault="00D330A5"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D4D1C">
              <w:rPr>
                <w:rFonts w:eastAsia="Times New Roman"/>
                <w:sz w:val="18"/>
                <w:szCs w:val="18"/>
              </w:rPr>
              <w:t>Records of geoscientific data that attract and render more effective mineral and onshore petroleum exploration, and records that provide geoscientific advice on resource policy formulation.</w:t>
            </w:r>
          </w:p>
        </w:tc>
        <w:tc>
          <w:tcPr>
            <w:tcW w:w="1191" w:type="dxa"/>
            <w:hideMark/>
          </w:tcPr>
          <w:p w14:paraId="28B737D9" w14:textId="77777777" w:rsidR="00D330A5" w:rsidRPr="001D4D1C" w:rsidRDefault="00D330A5" w:rsidP="007F03D1">
            <w:pPr>
              <w:spacing w:before="69" w:after="69"/>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D4D1C">
              <w:rPr>
                <w:rFonts w:eastAsia="Times New Roman"/>
                <w:sz w:val="18"/>
                <w:szCs w:val="18"/>
              </w:rPr>
              <w:t>Yes</w:t>
            </w:r>
          </w:p>
        </w:tc>
        <w:tc>
          <w:tcPr>
            <w:tcW w:w="1191" w:type="dxa"/>
            <w:hideMark/>
          </w:tcPr>
          <w:p w14:paraId="17E65268" w14:textId="77777777" w:rsidR="00D330A5" w:rsidRPr="001D4D1C" w:rsidRDefault="00D330A5"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D4D1C">
              <w:rPr>
                <w:rFonts w:eastAsia="Times New Roman"/>
                <w:sz w:val="18"/>
                <w:szCs w:val="18"/>
              </w:rPr>
              <w:t>Electronic and hard copy</w:t>
            </w:r>
          </w:p>
        </w:tc>
        <w:tc>
          <w:tcPr>
            <w:tcW w:w="1306" w:type="dxa"/>
            <w:hideMark/>
          </w:tcPr>
          <w:p w14:paraId="79F419B3" w14:textId="77777777" w:rsidR="00D330A5" w:rsidRPr="001D4D1C" w:rsidRDefault="00D330A5"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D4D1C">
              <w:rPr>
                <w:rFonts w:eastAsia="Times New Roman"/>
                <w:sz w:val="18"/>
                <w:szCs w:val="18"/>
              </w:rPr>
              <w:t>Yes</w:t>
            </w:r>
          </w:p>
        </w:tc>
        <w:tc>
          <w:tcPr>
            <w:tcW w:w="1307" w:type="dxa"/>
            <w:hideMark/>
          </w:tcPr>
          <w:p w14:paraId="248AD187" w14:textId="77777777" w:rsidR="00D330A5" w:rsidRPr="001D4D1C" w:rsidRDefault="00D330A5"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D4D1C">
              <w:rPr>
                <w:rFonts w:eastAsia="Times New Roman"/>
                <w:sz w:val="18"/>
                <w:szCs w:val="18"/>
              </w:rPr>
              <w:t>No</w:t>
            </w:r>
          </w:p>
        </w:tc>
        <w:tc>
          <w:tcPr>
            <w:tcW w:w="1307" w:type="dxa"/>
            <w:hideMark/>
          </w:tcPr>
          <w:p w14:paraId="7C94F84A" w14:textId="77777777" w:rsidR="00D330A5" w:rsidRPr="001D4D1C" w:rsidRDefault="00D330A5"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D4D1C">
              <w:rPr>
                <w:rFonts w:eastAsia="Times New Roman"/>
                <w:sz w:val="18"/>
                <w:szCs w:val="18"/>
              </w:rPr>
              <w:t>Yes</w:t>
            </w:r>
          </w:p>
        </w:tc>
      </w:tr>
      <w:tr w:rsidR="00D330A5" w:rsidRPr="001D4D1C" w14:paraId="768F5A7A" w14:textId="77777777" w:rsidTr="00D330A5">
        <w:trPr>
          <w:cnfStyle w:val="000000010000" w:firstRow="0" w:lastRow="0" w:firstColumn="0" w:lastColumn="0" w:oddVBand="0" w:evenVBand="0" w:oddHBand="0" w:evenHBand="1" w:firstRowFirstColumn="0" w:firstRowLastColumn="0" w:lastRowFirstColumn="0" w:lastRowLastColumn="0"/>
          <w:trHeight w:val="991"/>
        </w:trPr>
        <w:tc>
          <w:tcPr>
            <w:cnfStyle w:val="001000000000" w:firstRow="0" w:lastRow="0" w:firstColumn="1" w:lastColumn="0" w:oddVBand="0" w:evenVBand="0" w:oddHBand="0" w:evenHBand="0" w:firstRowFirstColumn="0" w:firstRowLastColumn="0" w:lastRowFirstColumn="0" w:lastRowLastColumn="0"/>
            <w:tcW w:w="1923" w:type="dxa"/>
            <w:hideMark/>
          </w:tcPr>
          <w:p w14:paraId="579FEF77" w14:textId="77777777" w:rsidR="00D330A5" w:rsidRPr="001D4D1C" w:rsidRDefault="00D330A5" w:rsidP="007F03D1">
            <w:pPr>
              <w:spacing w:before="69" w:after="69"/>
              <w:rPr>
                <w:rFonts w:eastAsia="Times New Roman"/>
                <w:b/>
                <w:bCs/>
                <w:sz w:val="18"/>
                <w:szCs w:val="18"/>
              </w:rPr>
            </w:pPr>
            <w:r w:rsidRPr="001D4D1C">
              <w:rPr>
                <w:rFonts w:eastAsia="Times New Roman"/>
                <w:b/>
                <w:bCs/>
                <w:sz w:val="18"/>
                <w:szCs w:val="18"/>
              </w:rPr>
              <w:t>Mining and Energy</w:t>
            </w:r>
          </w:p>
        </w:tc>
        <w:tc>
          <w:tcPr>
            <w:tcW w:w="1930" w:type="dxa"/>
            <w:hideMark/>
          </w:tcPr>
          <w:p w14:paraId="2DB27AE1" w14:textId="77777777" w:rsidR="00D330A5" w:rsidRPr="001D4D1C" w:rsidRDefault="00D330A5"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1D4D1C">
              <w:rPr>
                <w:rFonts w:eastAsia="Times New Roman"/>
                <w:sz w:val="18"/>
                <w:szCs w:val="18"/>
              </w:rPr>
              <w:t>Sustainable energy and electricity systems policy</w:t>
            </w:r>
          </w:p>
        </w:tc>
        <w:tc>
          <w:tcPr>
            <w:tcW w:w="5214" w:type="dxa"/>
            <w:hideMark/>
          </w:tcPr>
          <w:p w14:paraId="3320CAA1" w14:textId="77777777" w:rsidR="00D330A5" w:rsidRPr="001D4D1C" w:rsidRDefault="00D330A5"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1D4D1C">
              <w:rPr>
                <w:rFonts w:eastAsia="Times New Roman"/>
                <w:sz w:val="18"/>
                <w:szCs w:val="18"/>
              </w:rPr>
              <w:t>Records relating to developing, coordinating and implementing Northern Territory Government electricity systems and sustainable energy policy, including policies,</w:t>
            </w:r>
            <w:r w:rsidRPr="001D4D1C">
              <w:br/>
            </w:r>
            <w:r w:rsidRPr="001D4D1C">
              <w:rPr>
                <w:rFonts w:eastAsia="Times New Roman"/>
                <w:sz w:val="18"/>
                <w:szCs w:val="18"/>
              </w:rPr>
              <w:t>strategies, regulations and grant schemes.</w:t>
            </w:r>
          </w:p>
        </w:tc>
        <w:tc>
          <w:tcPr>
            <w:tcW w:w="1191" w:type="dxa"/>
            <w:hideMark/>
          </w:tcPr>
          <w:p w14:paraId="0C0A4182" w14:textId="77777777" w:rsidR="00D330A5" w:rsidRPr="001D4D1C" w:rsidRDefault="00D330A5" w:rsidP="007F03D1">
            <w:pPr>
              <w:spacing w:before="69" w:after="69"/>
              <w:jc w:val="center"/>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1D4D1C">
              <w:rPr>
                <w:rFonts w:eastAsia="Times New Roman"/>
                <w:sz w:val="18"/>
                <w:szCs w:val="18"/>
              </w:rPr>
              <w:t>Yes</w:t>
            </w:r>
          </w:p>
        </w:tc>
        <w:tc>
          <w:tcPr>
            <w:tcW w:w="1191" w:type="dxa"/>
            <w:hideMark/>
          </w:tcPr>
          <w:p w14:paraId="007FC27E" w14:textId="77777777" w:rsidR="00D330A5" w:rsidRPr="001D4D1C" w:rsidRDefault="00D330A5"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1D4D1C">
              <w:rPr>
                <w:rFonts w:eastAsia="Times New Roman"/>
                <w:sz w:val="18"/>
                <w:szCs w:val="18"/>
              </w:rPr>
              <w:t>Electronic and hard copy</w:t>
            </w:r>
          </w:p>
        </w:tc>
        <w:tc>
          <w:tcPr>
            <w:tcW w:w="1306" w:type="dxa"/>
            <w:hideMark/>
          </w:tcPr>
          <w:p w14:paraId="4054F9F8" w14:textId="77777777" w:rsidR="00D330A5" w:rsidRPr="001D4D1C" w:rsidRDefault="00D330A5"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1D4D1C">
              <w:rPr>
                <w:rFonts w:eastAsia="Times New Roman"/>
                <w:sz w:val="18"/>
                <w:szCs w:val="18"/>
              </w:rPr>
              <w:t>No</w:t>
            </w:r>
          </w:p>
        </w:tc>
        <w:tc>
          <w:tcPr>
            <w:tcW w:w="1307" w:type="dxa"/>
            <w:hideMark/>
          </w:tcPr>
          <w:p w14:paraId="170680A8" w14:textId="77777777" w:rsidR="00D330A5" w:rsidRPr="001D4D1C" w:rsidRDefault="00D330A5"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1D4D1C">
              <w:rPr>
                <w:rFonts w:eastAsia="Times New Roman"/>
                <w:sz w:val="18"/>
                <w:szCs w:val="18"/>
              </w:rPr>
              <w:t>No.</w:t>
            </w:r>
          </w:p>
        </w:tc>
        <w:tc>
          <w:tcPr>
            <w:tcW w:w="1307" w:type="dxa"/>
            <w:hideMark/>
          </w:tcPr>
          <w:p w14:paraId="6F8258A3" w14:textId="77777777" w:rsidR="00D330A5" w:rsidRPr="001D4D1C" w:rsidRDefault="00D330A5"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1D4D1C">
              <w:rPr>
                <w:rFonts w:eastAsia="Times New Roman"/>
                <w:sz w:val="18"/>
                <w:szCs w:val="18"/>
              </w:rPr>
              <w:t>Yes</w:t>
            </w:r>
          </w:p>
        </w:tc>
      </w:tr>
      <w:tr w:rsidR="00D330A5" w:rsidRPr="001D4D1C" w14:paraId="605A1763" w14:textId="77777777" w:rsidTr="00D330A5">
        <w:trPr>
          <w:cnfStyle w:val="000000100000" w:firstRow="0" w:lastRow="0" w:firstColumn="0" w:lastColumn="0" w:oddVBand="0" w:evenVBand="0" w:oddHBand="1" w:evenHBand="0" w:firstRowFirstColumn="0" w:firstRowLastColumn="0" w:lastRowFirstColumn="0" w:lastRowLastColumn="0"/>
          <w:trHeight w:val="1132"/>
        </w:trPr>
        <w:tc>
          <w:tcPr>
            <w:cnfStyle w:val="001000000000" w:firstRow="0" w:lastRow="0" w:firstColumn="1" w:lastColumn="0" w:oddVBand="0" w:evenVBand="0" w:oddHBand="0" w:evenHBand="0" w:firstRowFirstColumn="0" w:firstRowLastColumn="0" w:lastRowFirstColumn="0" w:lastRowLastColumn="0"/>
            <w:tcW w:w="1923" w:type="dxa"/>
            <w:hideMark/>
          </w:tcPr>
          <w:p w14:paraId="748EDE7F" w14:textId="77777777" w:rsidR="00D330A5" w:rsidRPr="001D4D1C" w:rsidRDefault="00D330A5" w:rsidP="007F03D1">
            <w:pPr>
              <w:spacing w:before="69" w:after="69"/>
              <w:rPr>
                <w:rFonts w:eastAsia="Times New Roman"/>
                <w:b/>
                <w:bCs/>
                <w:sz w:val="18"/>
                <w:szCs w:val="18"/>
              </w:rPr>
            </w:pPr>
            <w:r w:rsidRPr="001D4D1C">
              <w:rPr>
                <w:rFonts w:eastAsia="Times New Roman"/>
                <w:b/>
                <w:bCs/>
                <w:sz w:val="18"/>
                <w:szCs w:val="18"/>
              </w:rPr>
              <w:t>Mining and Energy</w:t>
            </w:r>
          </w:p>
        </w:tc>
        <w:tc>
          <w:tcPr>
            <w:tcW w:w="1930" w:type="dxa"/>
            <w:hideMark/>
          </w:tcPr>
          <w:p w14:paraId="27FAA8CC" w14:textId="77777777" w:rsidR="00D330A5" w:rsidRPr="001D4D1C" w:rsidRDefault="00D330A5"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D4D1C">
              <w:rPr>
                <w:rFonts w:eastAsia="Times New Roman"/>
                <w:sz w:val="18"/>
                <w:szCs w:val="18"/>
              </w:rPr>
              <w:t>Mineral titles regulations</w:t>
            </w:r>
          </w:p>
        </w:tc>
        <w:tc>
          <w:tcPr>
            <w:tcW w:w="5214" w:type="dxa"/>
            <w:hideMark/>
          </w:tcPr>
          <w:p w14:paraId="562A5AEC" w14:textId="77777777" w:rsidR="00D330A5" w:rsidRPr="001D4D1C" w:rsidRDefault="00D330A5"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D4D1C">
              <w:rPr>
                <w:rFonts w:eastAsia="Times New Roman"/>
                <w:sz w:val="18"/>
                <w:szCs w:val="18"/>
              </w:rPr>
              <w:t xml:space="preserve">Records on regulating the exploration and processing of minerals and extractive minerals in the Northern Territory, including the granting and monitoring of mineral titles and maintaining the Mineral Titles Register under the </w:t>
            </w:r>
            <w:r w:rsidRPr="00D11787">
              <w:rPr>
                <w:rFonts w:eastAsia="Times New Roman"/>
                <w:sz w:val="18"/>
                <w:szCs w:val="18"/>
              </w:rPr>
              <w:t>Minerals Titles Act 2010.</w:t>
            </w:r>
          </w:p>
        </w:tc>
        <w:tc>
          <w:tcPr>
            <w:tcW w:w="1191" w:type="dxa"/>
            <w:hideMark/>
          </w:tcPr>
          <w:p w14:paraId="31EEEE25" w14:textId="77777777" w:rsidR="00D330A5" w:rsidRPr="001D4D1C" w:rsidRDefault="00D330A5" w:rsidP="007F03D1">
            <w:pPr>
              <w:spacing w:before="69" w:after="69"/>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D4D1C">
              <w:rPr>
                <w:rFonts w:eastAsia="Times New Roman"/>
                <w:sz w:val="18"/>
                <w:szCs w:val="18"/>
              </w:rPr>
              <w:t>Yes</w:t>
            </w:r>
          </w:p>
        </w:tc>
        <w:tc>
          <w:tcPr>
            <w:tcW w:w="1191" w:type="dxa"/>
            <w:hideMark/>
          </w:tcPr>
          <w:p w14:paraId="3632D630" w14:textId="77777777" w:rsidR="00D330A5" w:rsidRPr="001D4D1C" w:rsidRDefault="00D330A5"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D4D1C">
              <w:rPr>
                <w:rFonts w:eastAsia="Times New Roman"/>
                <w:sz w:val="18"/>
                <w:szCs w:val="18"/>
              </w:rPr>
              <w:t>Electronic and hard copy</w:t>
            </w:r>
          </w:p>
        </w:tc>
        <w:tc>
          <w:tcPr>
            <w:tcW w:w="1306" w:type="dxa"/>
            <w:hideMark/>
          </w:tcPr>
          <w:p w14:paraId="574FB39F" w14:textId="77777777" w:rsidR="00D330A5" w:rsidRPr="001D4D1C" w:rsidRDefault="00D330A5"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D4D1C">
              <w:rPr>
                <w:rFonts w:eastAsia="Times New Roman"/>
                <w:sz w:val="18"/>
                <w:szCs w:val="18"/>
              </w:rPr>
              <w:t>Yes</w:t>
            </w:r>
          </w:p>
        </w:tc>
        <w:tc>
          <w:tcPr>
            <w:tcW w:w="1307" w:type="dxa"/>
            <w:hideMark/>
          </w:tcPr>
          <w:p w14:paraId="27AABFD7" w14:textId="77777777" w:rsidR="00D330A5" w:rsidRPr="001D4D1C" w:rsidRDefault="00D330A5"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D4D1C">
              <w:rPr>
                <w:rFonts w:eastAsia="Times New Roman"/>
                <w:sz w:val="18"/>
                <w:szCs w:val="18"/>
              </w:rPr>
              <w:t>Yes</w:t>
            </w:r>
          </w:p>
        </w:tc>
        <w:tc>
          <w:tcPr>
            <w:tcW w:w="1307" w:type="dxa"/>
            <w:hideMark/>
          </w:tcPr>
          <w:p w14:paraId="5C8E7638" w14:textId="77777777" w:rsidR="00D330A5" w:rsidRPr="001D4D1C" w:rsidRDefault="00D330A5"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D4D1C">
              <w:rPr>
                <w:rFonts w:eastAsia="Times New Roman"/>
                <w:sz w:val="18"/>
                <w:szCs w:val="18"/>
              </w:rPr>
              <w:t>Yes</w:t>
            </w:r>
          </w:p>
        </w:tc>
      </w:tr>
      <w:tr w:rsidR="00D330A5" w:rsidRPr="001D4D1C" w14:paraId="0F40A15B" w14:textId="77777777" w:rsidTr="00D330A5">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23" w:type="dxa"/>
            <w:hideMark/>
          </w:tcPr>
          <w:p w14:paraId="7B401105" w14:textId="77777777" w:rsidR="00D330A5" w:rsidRPr="001D4D1C" w:rsidRDefault="00D330A5" w:rsidP="007F03D1">
            <w:pPr>
              <w:spacing w:before="69" w:after="69"/>
              <w:rPr>
                <w:rFonts w:eastAsia="Times New Roman"/>
                <w:b/>
                <w:bCs/>
                <w:sz w:val="18"/>
                <w:szCs w:val="18"/>
              </w:rPr>
            </w:pPr>
            <w:r w:rsidRPr="001D4D1C">
              <w:rPr>
                <w:rFonts w:eastAsia="Times New Roman"/>
                <w:b/>
                <w:bCs/>
                <w:sz w:val="18"/>
                <w:szCs w:val="18"/>
              </w:rPr>
              <w:t>Mining and Energy</w:t>
            </w:r>
          </w:p>
        </w:tc>
        <w:tc>
          <w:tcPr>
            <w:tcW w:w="1930" w:type="dxa"/>
            <w:hideMark/>
          </w:tcPr>
          <w:p w14:paraId="63D9E7C6" w14:textId="77777777" w:rsidR="00D330A5" w:rsidRPr="001D4D1C" w:rsidRDefault="00D330A5"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1D4D1C">
              <w:rPr>
                <w:rFonts w:eastAsia="Times New Roman"/>
                <w:sz w:val="18"/>
                <w:szCs w:val="18"/>
              </w:rPr>
              <w:t>Mining industry development</w:t>
            </w:r>
          </w:p>
        </w:tc>
        <w:tc>
          <w:tcPr>
            <w:tcW w:w="5214" w:type="dxa"/>
            <w:hideMark/>
          </w:tcPr>
          <w:p w14:paraId="399D739E" w14:textId="77777777" w:rsidR="00D330A5" w:rsidRPr="001D4D1C" w:rsidRDefault="00D330A5"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1D4D1C">
              <w:rPr>
                <w:rFonts w:eastAsia="Times New Roman"/>
                <w:sz w:val="18"/>
                <w:szCs w:val="18"/>
              </w:rPr>
              <w:t>Records relating to functions and activities associated with developing the mining industry in the Northern Territory.</w:t>
            </w:r>
          </w:p>
        </w:tc>
        <w:tc>
          <w:tcPr>
            <w:tcW w:w="1191" w:type="dxa"/>
            <w:hideMark/>
          </w:tcPr>
          <w:p w14:paraId="68694252" w14:textId="77777777" w:rsidR="00D330A5" w:rsidRPr="001D4D1C" w:rsidRDefault="00D330A5" w:rsidP="007F03D1">
            <w:pPr>
              <w:spacing w:before="69" w:after="69"/>
              <w:jc w:val="center"/>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1D4D1C">
              <w:rPr>
                <w:rFonts w:eastAsia="Times New Roman"/>
                <w:sz w:val="18"/>
                <w:szCs w:val="18"/>
              </w:rPr>
              <w:t>Yes</w:t>
            </w:r>
          </w:p>
        </w:tc>
        <w:tc>
          <w:tcPr>
            <w:tcW w:w="1191" w:type="dxa"/>
            <w:hideMark/>
          </w:tcPr>
          <w:p w14:paraId="29224066" w14:textId="77777777" w:rsidR="00D330A5" w:rsidRPr="001D4D1C" w:rsidRDefault="00D330A5"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1D4D1C">
              <w:rPr>
                <w:rFonts w:eastAsia="Times New Roman"/>
                <w:sz w:val="18"/>
                <w:szCs w:val="18"/>
              </w:rPr>
              <w:t>Electronic and hard copy</w:t>
            </w:r>
          </w:p>
        </w:tc>
        <w:tc>
          <w:tcPr>
            <w:tcW w:w="1306" w:type="dxa"/>
            <w:hideMark/>
          </w:tcPr>
          <w:p w14:paraId="220D3F28" w14:textId="77777777" w:rsidR="00D330A5" w:rsidRPr="001D4D1C" w:rsidRDefault="00D330A5"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1D4D1C">
              <w:rPr>
                <w:rFonts w:eastAsia="Times New Roman"/>
                <w:sz w:val="18"/>
                <w:szCs w:val="18"/>
              </w:rPr>
              <w:t>No</w:t>
            </w:r>
          </w:p>
        </w:tc>
        <w:tc>
          <w:tcPr>
            <w:tcW w:w="1307" w:type="dxa"/>
            <w:hideMark/>
          </w:tcPr>
          <w:p w14:paraId="713C9A8D" w14:textId="77777777" w:rsidR="00D330A5" w:rsidRPr="001D4D1C" w:rsidRDefault="00D330A5"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1D4D1C">
              <w:rPr>
                <w:rFonts w:eastAsia="Times New Roman"/>
                <w:sz w:val="18"/>
                <w:szCs w:val="18"/>
              </w:rPr>
              <w:t>No</w:t>
            </w:r>
          </w:p>
        </w:tc>
        <w:tc>
          <w:tcPr>
            <w:tcW w:w="1307" w:type="dxa"/>
            <w:hideMark/>
          </w:tcPr>
          <w:p w14:paraId="3D01F5D4" w14:textId="77777777" w:rsidR="00D330A5" w:rsidRPr="001D4D1C" w:rsidRDefault="00D330A5"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1D4D1C">
              <w:rPr>
                <w:rFonts w:eastAsia="Times New Roman"/>
                <w:sz w:val="18"/>
                <w:szCs w:val="18"/>
              </w:rPr>
              <w:t>Yes</w:t>
            </w:r>
          </w:p>
        </w:tc>
      </w:tr>
      <w:tr w:rsidR="00D330A5" w:rsidRPr="001D4D1C" w14:paraId="526B641E" w14:textId="77777777" w:rsidTr="00D330A5">
        <w:trPr>
          <w:cnfStyle w:val="000000100000" w:firstRow="0" w:lastRow="0" w:firstColumn="0" w:lastColumn="0" w:oddVBand="0" w:evenVBand="0" w:oddHBand="1"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1923" w:type="dxa"/>
            <w:hideMark/>
          </w:tcPr>
          <w:p w14:paraId="3D7AE3A5" w14:textId="77777777" w:rsidR="00D330A5" w:rsidRPr="001D4D1C" w:rsidRDefault="00D330A5" w:rsidP="007F03D1">
            <w:pPr>
              <w:spacing w:before="69" w:after="69"/>
              <w:rPr>
                <w:rFonts w:eastAsia="Times New Roman"/>
                <w:b/>
                <w:bCs/>
                <w:sz w:val="18"/>
                <w:szCs w:val="18"/>
              </w:rPr>
            </w:pPr>
            <w:r w:rsidRPr="001D4D1C">
              <w:rPr>
                <w:rFonts w:eastAsia="Times New Roman"/>
                <w:b/>
                <w:bCs/>
                <w:sz w:val="18"/>
                <w:szCs w:val="18"/>
              </w:rPr>
              <w:t>Mining and Energy</w:t>
            </w:r>
          </w:p>
        </w:tc>
        <w:tc>
          <w:tcPr>
            <w:tcW w:w="1930" w:type="dxa"/>
            <w:hideMark/>
          </w:tcPr>
          <w:p w14:paraId="2E7C04A3" w14:textId="77777777" w:rsidR="00D330A5" w:rsidRPr="001D4D1C" w:rsidRDefault="00D330A5"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D4D1C">
              <w:rPr>
                <w:rFonts w:eastAsia="Times New Roman"/>
                <w:sz w:val="18"/>
                <w:szCs w:val="18"/>
              </w:rPr>
              <w:t>Petroleum operations</w:t>
            </w:r>
          </w:p>
        </w:tc>
        <w:tc>
          <w:tcPr>
            <w:tcW w:w="5214" w:type="dxa"/>
            <w:hideMark/>
          </w:tcPr>
          <w:p w14:paraId="66CAB6EE" w14:textId="77777777" w:rsidR="00D330A5" w:rsidRPr="001D4D1C" w:rsidRDefault="00D330A5"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D4D1C">
              <w:rPr>
                <w:rFonts w:eastAsia="Times New Roman"/>
                <w:sz w:val="18"/>
                <w:szCs w:val="18"/>
              </w:rPr>
              <w:t xml:space="preserve">Records relating to activities associated with petroleum, pipeline and geothermal energy activities under the </w:t>
            </w:r>
            <w:r w:rsidRPr="00D11787">
              <w:rPr>
                <w:rFonts w:eastAsia="Times New Roman"/>
                <w:iCs/>
                <w:sz w:val="18"/>
                <w:szCs w:val="18"/>
              </w:rPr>
              <w:t xml:space="preserve">Petroleum Act 1981, </w:t>
            </w:r>
            <w:r w:rsidRPr="00836520">
              <w:rPr>
                <w:rFonts w:eastAsia="Times New Roman"/>
                <w:iCs/>
                <w:sz w:val="18"/>
                <w:szCs w:val="18"/>
              </w:rPr>
              <w:t>Petroleum (Submerged Lands) Act 1981</w:t>
            </w:r>
            <w:r w:rsidRPr="00D11787">
              <w:rPr>
                <w:rFonts w:eastAsia="Times New Roman"/>
                <w:iCs/>
                <w:sz w:val="18"/>
                <w:szCs w:val="18"/>
              </w:rPr>
              <w:t xml:space="preserve">, Geothermal Energy Act 2009 </w:t>
            </w:r>
            <w:r w:rsidRPr="00836520">
              <w:rPr>
                <w:rFonts w:eastAsia="Times New Roman"/>
                <w:iCs/>
                <w:sz w:val="18"/>
                <w:szCs w:val="18"/>
              </w:rPr>
              <w:t xml:space="preserve">and </w:t>
            </w:r>
            <w:r w:rsidRPr="00D11787">
              <w:rPr>
                <w:rFonts w:eastAsia="Times New Roman"/>
                <w:iCs/>
                <w:sz w:val="18"/>
                <w:szCs w:val="18"/>
              </w:rPr>
              <w:t>Energy Pipelines Act 1981.</w:t>
            </w:r>
          </w:p>
        </w:tc>
        <w:tc>
          <w:tcPr>
            <w:tcW w:w="1191" w:type="dxa"/>
            <w:hideMark/>
          </w:tcPr>
          <w:p w14:paraId="09D8C0E0" w14:textId="77777777" w:rsidR="00D330A5" w:rsidRPr="001D4D1C" w:rsidRDefault="00D330A5" w:rsidP="007F03D1">
            <w:pPr>
              <w:spacing w:before="69" w:after="69"/>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D4D1C">
              <w:rPr>
                <w:rFonts w:eastAsia="Times New Roman"/>
                <w:sz w:val="18"/>
                <w:szCs w:val="18"/>
              </w:rPr>
              <w:t>Yes</w:t>
            </w:r>
          </w:p>
        </w:tc>
        <w:tc>
          <w:tcPr>
            <w:tcW w:w="1191" w:type="dxa"/>
            <w:hideMark/>
          </w:tcPr>
          <w:p w14:paraId="5B6C00E1" w14:textId="77777777" w:rsidR="00D330A5" w:rsidRPr="001D4D1C" w:rsidRDefault="00D330A5"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D4D1C">
              <w:rPr>
                <w:rFonts w:eastAsia="Times New Roman"/>
                <w:sz w:val="18"/>
                <w:szCs w:val="18"/>
              </w:rPr>
              <w:t>Electronic and hard copy</w:t>
            </w:r>
          </w:p>
        </w:tc>
        <w:tc>
          <w:tcPr>
            <w:tcW w:w="1306" w:type="dxa"/>
            <w:hideMark/>
          </w:tcPr>
          <w:p w14:paraId="596A97B8" w14:textId="77777777" w:rsidR="00D330A5" w:rsidRPr="001D4D1C" w:rsidRDefault="00D330A5"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D4D1C">
              <w:rPr>
                <w:rFonts w:eastAsia="Times New Roman"/>
                <w:sz w:val="18"/>
                <w:szCs w:val="18"/>
              </w:rPr>
              <w:t>No</w:t>
            </w:r>
          </w:p>
        </w:tc>
        <w:tc>
          <w:tcPr>
            <w:tcW w:w="1307" w:type="dxa"/>
            <w:hideMark/>
          </w:tcPr>
          <w:p w14:paraId="694B61D5" w14:textId="77777777" w:rsidR="00D330A5" w:rsidRPr="001D4D1C" w:rsidRDefault="00D330A5"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D4D1C">
              <w:rPr>
                <w:rFonts w:eastAsia="Times New Roman"/>
                <w:sz w:val="18"/>
                <w:szCs w:val="18"/>
              </w:rPr>
              <w:t>No</w:t>
            </w:r>
          </w:p>
        </w:tc>
        <w:tc>
          <w:tcPr>
            <w:tcW w:w="1307" w:type="dxa"/>
            <w:hideMark/>
          </w:tcPr>
          <w:p w14:paraId="0BF5091D" w14:textId="77777777" w:rsidR="00D330A5" w:rsidRPr="001D4D1C" w:rsidRDefault="00D330A5"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D4D1C">
              <w:rPr>
                <w:rFonts w:eastAsia="Times New Roman"/>
                <w:sz w:val="18"/>
                <w:szCs w:val="18"/>
              </w:rPr>
              <w:t>Yes</w:t>
            </w:r>
          </w:p>
        </w:tc>
      </w:tr>
      <w:tr w:rsidR="00D330A5" w:rsidRPr="001D4D1C" w14:paraId="2EC1BAC3" w14:textId="77777777" w:rsidTr="00D330A5">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23" w:type="dxa"/>
            <w:hideMark/>
          </w:tcPr>
          <w:p w14:paraId="7CECB0C8" w14:textId="77777777" w:rsidR="00D330A5" w:rsidRPr="001D4D1C" w:rsidRDefault="00D330A5" w:rsidP="007F03D1">
            <w:pPr>
              <w:spacing w:before="69" w:after="69"/>
              <w:rPr>
                <w:rFonts w:eastAsia="Times New Roman"/>
                <w:b/>
                <w:bCs/>
                <w:sz w:val="18"/>
                <w:szCs w:val="18"/>
              </w:rPr>
            </w:pPr>
            <w:r w:rsidRPr="001D4D1C">
              <w:rPr>
                <w:rFonts w:eastAsia="Times New Roman"/>
                <w:b/>
                <w:bCs/>
                <w:sz w:val="18"/>
                <w:szCs w:val="18"/>
              </w:rPr>
              <w:t>Mining and Energy</w:t>
            </w:r>
          </w:p>
        </w:tc>
        <w:tc>
          <w:tcPr>
            <w:tcW w:w="1930" w:type="dxa"/>
            <w:hideMark/>
          </w:tcPr>
          <w:p w14:paraId="1F46D95A" w14:textId="77777777" w:rsidR="00D330A5" w:rsidRPr="001D4D1C" w:rsidRDefault="00D330A5"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1D4D1C">
              <w:rPr>
                <w:rFonts w:eastAsia="Times New Roman"/>
                <w:sz w:val="18"/>
                <w:szCs w:val="18"/>
              </w:rPr>
              <w:t>Petroleum resources</w:t>
            </w:r>
          </w:p>
        </w:tc>
        <w:tc>
          <w:tcPr>
            <w:tcW w:w="5214" w:type="dxa"/>
            <w:hideMark/>
          </w:tcPr>
          <w:p w14:paraId="7C0D0C5C" w14:textId="77777777" w:rsidR="00D330A5" w:rsidRPr="001D4D1C" w:rsidRDefault="00D330A5"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1D4D1C">
              <w:rPr>
                <w:rFonts w:eastAsia="Times New Roman"/>
                <w:sz w:val="18"/>
                <w:szCs w:val="18"/>
              </w:rPr>
              <w:t>Records on regulating effective exploration for petroleum production so that the optimal value of the resource is returned to the Territory.</w:t>
            </w:r>
          </w:p>
        </w:tc>
        <w:tc>
          <w:tcPr>
            <w:tcW w:w="1191" w:type="dxa"/>
            <w:hideMark/>
          </w:tcPr>
          <w:p w14:paraId="1BA02E3E" w14:textId="77777777" w:rsidR="00D330A5" w:rsidRPr="001D4D1C" w:rsidRDefault="00D330A5" w:rsidP="007F03D1">
            <w:pPr>
              <w:spacing w:before="69" w:after="69"/>
              <w:jc w:val="center"/>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1D4D1C">
              <w:rPr>
                <w:rFonts w:eastAsia="Times New Roman"/>
                <w:sz w:val="18"/>
                <w:szCs w:val="18"/>
              </w:rPr>
              <w:t>Yes</w:t>
            </w:r>
          </w:p>
        </w:tc>
        <w:tc>
          <w:tcPr>
            <w:tcW w:w="1191" w:type="dxa"/>
            <w:hideMark/>
          </w:tcPr>
          <w:p w14:paraId="6B1ACE12" w14:textId="77777777" w:rsidR="00D330A5" w:rsidRPr="001D4D1C" w:rsidRDefault="00D330A5"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1D4D1C">
              <w:rPr>
                <w:rFonts w:eastAsia="Times New Roman"/>
                <w:sz w:val="18"/>
                <w:szCs w:val="18"/>
              </w:rPr>
              <w:t>Electronic and hard copy</w:t>
            </w:r>
          </w:p>
        </w:tc>
        <w:tc>
          <w:tcPr>
            <w:tcW w:w="1306" w:type="dxa"/>
            <w:hideMark/>
          </w:tcPr>
          <w:p w14:paraId="7E6088AA" w14:textId="77777777" w:rsidR="00D330A5" w:rsidRPr="001D4D1C" w:rsidRDefault="00D330A5"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1D4D1C">
              <w:rPr>
                <w:rFonts w:eastAsia="Times New Roman"/>
                <w:sz w:val="18"/>
                <w:szCs w:val="18"/>
              </w:rPr>
              <w:t>No</w:t>
            </w:r>
          </w:p>
        </w:tc>
        <w:tc>
          <w:tcPr>
            <w:tcW w:w="1307" w:type="dxa"/>
            <w:hideMark/>
          </w:tcPr>
          <w:p w14:paraId="5867D2F9" w14:textId="77777777" w:rsidR="00D330A5" w:rsidRPr="001D4D1C" w:rsidRDefault="00D330A5"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1D4D1C">
              <w:rPr>
                <w:rFonts w:eastAsia="Times New Roman"/>
                <w:sz w:val="18"/>
                <w:szCs w:val="18"/>
              </w:rPr>
              <w:t>No</w:t>
            </w:r>
          </w:p>
        </w:tc>
        <w:tc>
          <w:tcPr>
            <w:tcW w:w="1307" w:type="dxa"/>
            <w:hideMark/>
          </w:tcPr>
          <w:p w14:paraId="221585FB" w14:textId="77777777" w:rsidR="00D330A5" w:rsidRPr="001D4D1C" w:rsidRDefault="00D330A5"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1D4D1C">
              <w:rPr>
                <w:rFonts w:eastAsia="Times New Roman"/>
                <w:sz w:val="18"/>
                <w:szCs w:val="18"/>
              </w:rPr>
              <w:t>Yes</w:t>
            </w:r>
          </w:p>
        </w:tc>
      </w:tr>
      <w:tr w:rsidR="00D330A5" w:rsidRPr="001D4D1C" w14:paraId="5C09253B" w14:textId="77777777" w:rsidTr="00D330A5">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923" w:type="dxa"/>
            <w:shd w:val="clear" w:color="auto" w:fill="343741" w:themeFill="text1"/>
            <w:hideMark/>
          </w:tcPr>
          <w:p w14:paraId="62AFA7B2" w14:textId="77777777" w:rsidR="00D330A5" w:rsidRPr="001D4D1C" w:rsidRDefault="00D330A5" w:rsidP="007F03D1">
            <w:pPr>
              <w:spacing w:after="0"/>
              <w:rPr>
                <w:rFonts w:eastAsia="Times New Roman"/>
                <w:b/>
                <w:bCs/>
                <w:color w:val="FFFFFF"/>
                <w:sz w:val="18"/>
                <w:szCs w:val="18"/>
              </w:rPr>
            </w:pPr>
            <w:r w:rsidRPr="001D4D1C">
              <w:rPr>
                <w:rFonts w:eastAsia="Times New Roman"/>
                <w:b/>
                <w:bCs/>
                <w:color w:val="FFFFFF"/>
                <w:sz w:val="18"/>
                <w:szCs w:val="18"/>
              </w:rPr>
              <w:lastRenderedPageBreak/>
              <w:t>Output group</w:t>
            </w:r>
          </w:p>
        </w:tc>
        <w:tc>
          <w:tcPr>
            <w:tcW w:w="1930" w:type="dxa"/>
            <w:shd w:val="clear" w:color="auto" w:fill="343741" w:themeFill="text1"/>
            <w:hideMark/>
          </w:tcPr>
          <w:p w14:paraId="07C15459" w14:textId="77777777" w:rsidR="00D330A5" w:rsidRPr="001D4D1C" w:rsidRDefault="00D330A5" w:rsidP="007F03D1">
            <w:pPr>
              <w:spacing w:after="0"/>
              <w:cnfStyle w:val="000000100000" w:firstRow="0" w:lastRow="0" w:firstColumn="0" w:lastColumn="0" w:oddVBand="0" w:evenVBand="0" w:oddHBand="1" w:evenHBand="0" w:firstRowFirstColumn="0" w:firstRowLastColumn="0" w:lastRowFirstColumn="0" w:lastRowLastColumn="0"/>
              <w:rPr>
                <w:rFonts w:eastAsia="Times New Roman"/>
                <w:b/>
                <w:bCs/>
                <w:color w:val="FFFFFF"/>
                <w:sz w:val="18"/>
                <w:szCs w:val="18"/>
              </w:rPr>
            </w:pPr>
            <w:r w:rsidRPr="001D4D1C">
              <w:rPr>
                <w:rFonts w:eastAsia="Times New Roman"/>
                <w:b/>
                <w:bCs/>
                <w:color w:val="FFFFFF"/>
                <w:sz w:val="18"/>
                <w:szCs w:val="18"/>
              </w:rPr>
              <w:t>Topic of information</w:t>
            </w:r>
          </w:p>
        </w:tc>
        <w:tc>
          <w:tcPr>
            <w:tcW w:w="5214" w:type="dxa"/>
            <w:shd w:val="clear" w:color="auto" w:fill="343741" w:themeFill="text1"/>
            <w:hideMark/>
          </w:tcPr>
          <w:p w14:paraId="1ECD9767" w14:textId="77777777" w:rsidR="00D330A5" w:rsidRPr="001D4D1C" w:rsidRDefault="00D330A5" w:rsidP="007F03D1">
            <w:pPr>
              <w:spacing w:after="0"/>
              <w:cnfStyle w:val="000000100000" w:firstRow="0" w:lastRow="0" w:firstColumn="0" w:lastColumn="0" w:oddVBand="0" w:evenVBand="0" w:oddHBand="1" w:evenHBand="0" w:firstRowFirstColumn="0" w:firstRowLastColumn="0" w:lastRowFirstColumn="0" w:lastRowLastColumn="0"/>
              <w:rPr>
                <w:rFonts w:eastAsia="Times New Roman"/>
                <w:b/>
                <w:bCs/>
                <w:color w:val="FFFFFF"/>
                <w:sz w:val="18"/>
                <w:szCs w:val="18"/>
              </w:rPr>
            </w:pPr>
            <w:r w:rsidRPr="001D4D1C">
              <w:rPr>
                <w:rFonts w:eastAsia="Times New Roman"/>
                <w:b/>
                <w:bCs/>
                <w:color w:val="FFFFFF"/>
                <w:sz w:val="18"/>
                <w:szCs w:val="18"/>
              </w:rPr>
              <w:t>Description of information</w:t>
            </w:r>
          </w:p>
        </w:tc>
        <w:tc>
          <w:tcPr>
            <w:tcW w:w="1191" w:type="dxa"/>
            <w:shd w:val="clear" w:color="auto" w:fill="343741" w:themeFill="text1"/>
            <w:hideMark/>
          </w:tcPr>
          <w:p w14:paraId="5035FF51" w14:textId="77777777" w:rsidR="00D330A5" w:rsidRPr="001D4D1C" w:rsidRDefault="00D330A5" w:rsidP="007F03D1">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color w:val="FFFFFF"/>
                <w:sz w:val="18"/>
                <w:szCs w:val="18"/>
              </w:rPr>
            </w:pPr>
            <w:r w:rsidRPr="001D4D1C">
              <w:rPr>
                <w:rFonts w:eastAsia="Times New Roman"/>
                <w:b/>
                <w:bCs/>
                <w:color w:val="FFFFFF"/>
                <w:sz w:val="18"/>
                <w:szCs w:val="18"/>
              </w:rPr>
              <w:t>Includes personal information</w:t>
            </w:r>
          </w:p>
        </w:tc>
        <w:tc>
          <w:tcPr>
            <w:tcW w:w="1191" w:type="dxa"/>
            <w:shd w:val="clear" w:color="auto" w:fill="343741" w:themeFill="text1"/>
            <w:hideMark/>
          </w:tcPr>
          <w:p w14:paraId="4290A968" w14:textId="77777777" w:rsidR="00D330A5" w:rsidRPr="001D4D1C" w:rsidRDefault="00D330A5" w:rsidP="007F03D1">
            <w:pPr>
              <w:spacing w:after="0"/>
              <w:cnfStyle w:val="000000100000" w:firstRow="0" w:lastRow="0" w:firstColumn="0" w:lastColumn="0" w:oddVBand="0" w:evenVBand="0" w:oddHBand="1" w:evenHBand="0" w:firstRowFirstColumn="0" w:firstRowLastColumn="0" w:lastRowFirstColumn="0" w:lastRowLastColumn="0"/>
              <w:rPr>
                <w:rFonts w:eastAsia="Times New Roman"/>
                <w:b/>
                <w:bCs/>
                <w:color w:val="FFFFFF"/>
                <w:sz w:val="18"/>
                <w:szCs w:val="18"/>
              </w:rPr>
            </w:pPr>
            <w:r w:rsidRPr="001D4D1C">
              <w:rPr>
                <w:rFonts w:eastAsia="Times New Roman"/>
                <w:b/>
                <w:bCs/>
                <w:color w:val="FFFFFF"/>
                <w:sz w:val="18"/>
                <w:szCs w:val="18"/>
              </w:rPr>
              <w:t>How is it stored</w:t>
            </w:r>
          </w:p>
        </w:tc>
        <w:tc>
          <w:tcPr>
            <w:tcW w:w="1306" w:type="dxa"/>
            <w:shd w:val="clear" w:color="auto" w:fill="343741" w:themeFill="text1"/>
            <w:hideMark/>
          </w:tcPr>
          <w:p w14:paraId="42BFD299" w14:textId="77777777" w:rsidR="00D330A5" w:rsidRPr="001D4D1C" w:rsidRDefault="00D330A5" w:rsidP="007F03D1">
            <w:pPr>
              <w:spacing w:after="0"/>
              <w:cnfStyle w:val="000000100000" w:firstRow="0" w:lastRow="0" w:firstColumn="0" w:lastColumn="0" w:oddVBand="0" w:evenVBand="0" w:oddHBand="1" w:evenHBand="0" w:firstRowFirstColumn="0" w:firstRowLastColumn="0" w:lastRowFirstColumn="0" w:lastRowLastColumn="0"/>
              <w:rPr>
                <w:rFonts w:eastAsia="Times New Roman"/>
                <w:b/>
                <w:bCs/>
                <w:color w:val="FFFFFF"/>
                <w:sz w:val="18"/>
                <w:szCs w:val="18"/>
              </w:rPr>
            </w:pPr>
            <w:r w:rsidRPr="001D4D1C">
              <w:rPr>
                <w:rFonts w:eastAsia="Times New Roman"/>
                <w:b/>
                <w:bCs/>
                <w:color w:val="FFFFFF"/>
                <w:sz w:val="18"/>
                <w:szCs w:val="18"/>
              </w:rPr>
              <w:t>Section 11 (1)(b)(</w:t>
            </w:r>
            <w:proofErr w:type="spellStart"/>
            <w:r w:rsidRPr="001D4D1C">
              <w:rPr>
                <w:rFonts w:eastAsia="Times New Roman"/>
                <w:b/>
                <w:bCs/>
                <w:color w:val="FFFFFF"/>
                <w:sz w:val="18"/>
                <w:szCs w:val="18"/>
              </w:rPr>
              <w:t>i</w:t>
            </w:r>
            <w:proofErr w:type="spellEnd"/>
            <w:r w:rsidRPr="001D4D1C">
              <w:rPr>
                <w:rFonts w:eastAsia="Times New Roman"/>
                <w:b/>
                <w:bCs/>
                <w:color w:val="FFFFFF"/>
                <w:sz w:val="18"/>
                <w:szCs w:val="18"/>
              </w:rPr>
              <w:t xml:space="preserve">) may be inspected under </w:t>
            </w:r>
            <w:proofErr w:type="gramStart"/>
            <w:r w:rsidRPr="001D4D1C">
              <w:rPr>
                <w:rFonts w:eastAsia="Times New Roman"/>
                <w:b/>
                <w:bCs/>
                <w:color w:val="FFFFFF"/>
                <w:sz w:val="18"/>
                <w:szCs w:val="18"/>
              </w:rPr>
              <w:t>other</w:t>
            </w:r>
            <w:proofErr w:type="gramEnd"/>
            <w:r w:rsidRPr="001D4D1C">
              <w:rPr>
                <w:rFonts w:eastAsia="Times New Roman"/>
                <w:b/>
                <w:bCs/>
                <w:color w:val="FFFFFF"/>
                <w:sz w:val="18"/>
                <w:szCs w:val="18"/>
              </w:rPr>
              <w:t xml:space="preserve"> Act?</w:t>
            </w:r>
          </w:p>
        </w:tc>
        <w:tc>
          <w:tcPr>
            <w:tcW w:w="1307" w:type="dxa"/>
            <w:shd w:val="clear" w:color="auto" w:fill="343741" w:themeFill="text1"/>
            <w:hideMark/>
          </w:tcPr>
          <w:p w14:paraId="53FF0CED" w14:textId="77777777" w:rsidR="00D330A5" w:rsidRPr="001D4D1C" w:rsidRDefault="00D330A5" w:rsidP="007F03D1">
            <w:pPr>
              <w:spacing w:after="0"/>
              <w:cnfStyle w:val="000000100000" w:firstRow="0" w:lastRow="0" w:firstColumn="0" w:lastColumn="0" w:oddVBand="0" w:evenVBand="0" w:oddHBand="1" w:evenHBand="0" w:firstRowFirstColumn="0" w:firstRowLastColumn="0" w:lastRowFirstColumn="0" w:lastRowLastColumn="0"/>
              <w:rPr>
                <w:rFonts w:eastAsia="Times New Roman"/>
                <w:b/>
                <w:bCs/>
                <w:color w:val="FFFFFF"/>
                <w:sz w:val="18"/>
                <w:szCs w:val="18"/>
              </w:rPr>
            </w:pPr>
            <w:r w:rsidRPr="001D4D1C">
              <w:rPr>
                <w:rFonts w:eastAsia="Times New Roman"/>
                <w:b/>
                <w:bCs/>
                <w:color w:val="FFFFFF"/>
                <w:sz w:val="18"/>
                <w:szCs w:val="18"/>
              </w:rPr>
              <w:t>Section 11 (1)(b)(ii) may be purchased?</w:t>
            </w:r>
          </w:p>
        </w:tc>
        <w:tc>
          <w:tcPr>
            <w:tcW w:w="1307" w:type="dxa"/>
            <w:shd w:val="clear" w:color="auto" w:fill="343741" w:themeFill="text1"/>
            <w:hideMark/>
          </w:tcPr>
          <w:p w14:paraId="7A9FB5AA" w14:textId="77777777" w:rsidR="00D330A5" w:rsidRPr="001D4D1C" w:rsidRDefault="00D330A5" w:rsidP="007F03D1">
            <w:pPr>
              <w:spacing w:after="0"/>
              <w:cnfStyle w:val="000000100000" w:firstRow="0" w:lastRow="0" w:firstColumn="0" w:lastColumn="0" w:oddVBand="0" w:evenVBand="0" w:oddHBand="1" w:evenHBand="0" w:firstRowFirstColumn="0" w:firstRowLastColumn="0" w:lastRowFirstColumn="0" w:lastRowLastColumn="0"/>
              <w:rPr>
                <w:rFonts w:eastAsia="Times New Roman"/>
                <w:b/>
                <w:bCs/>
                <w:color w:val="FFFFFF"/>
                <w:sz w:val="18"/>
                <w:szCs w:val="18"/>
              </w:rPr>
            </w:pPr>
            <w:r w:rsidRPr="001D4D1C">
              <w:rPr>
                <w:rFonts w:eastAsia="Times New Roman"/>
                <w:b/>
                <w:bCs/>
                <w:color w:val="FFFFFF"/>
                <w:sz w:val="18"/>
                <w:szCs w:val="18"/>
              </w:rPr>
              <w:t>Section 11 (1)(b)(iii) distributed free of charge?</w:t>
            </w:r>
          </w:p>
        </w:tc>
      </w:tr>
      <w:tr w:rsidR="00D330A5" w:rsidRPr="001D4D1C" w14:paraId="31E61E7B" w14:textId="77777777" w:rsidTr="00D330A5">
        <w:trPr>
          <w:cnfStyle w:val="000000010000" w:firstRow="0" w:lastRow="0" w:firstColumn="0" w:lastColumn="0" w:oddVBand="0" w:evenVBand="0" w:oddHBand="0" w:evenHBand="1" w:firstRowFirstColumn="0" w:firstRowLastColumn="0" w:lastRowFirstColumn="0" w:lastRowLastColumn="0"/>
          <w:trHeight w:val="1383"/>
        </w:trPr>
        <w:tc>
          <w:tcPr>
            <w:cnfStyle w:val="001000000000" w:firstRow="0" w:lastRow="0" w:firstColumn="1" w:lastColumn="0" w:oddVBand="0" w:evenVBand="0" w:oddHBand="0" w:evenHBand="0" w:firstRowFirstColumn="0" w:firstRowLastColumn="0" w:lastRowFirstColumn="0" w:lastRowLastColumn="0"/>
            <w:tcW w:w="1923" w:type="dxa"/>
            <w:hideMark/>
          </w:tcPr>
          <w:p w14:paraId="592696BE" w14:textId="77777777" w:rsidR="00D330A5" w:rsidRPr="001D4D1C" w:rsidRDefault="00D330A5" w:rsidP="007F03D1">
            <w:pPr>
              <w:spacing w:before="69" w:after="69"/>
              <w:rPr>
                <w:rFonts w:eastAsia="Times New Roman"/>
                <w:b/>
                <w:bCs/>
                <w:sz w:val="18"/>
                <w:szCs w:val="18"/>
              </w:rPr>
            </w:pPr>
            <w:r w:rsidRPr="001D4D1C">
              <w:rPr>
                <w:rFonts w:eastAsia="Times New Roman"/>
                <w:b/>
                <w:bCs/>
                <w:sz w:val="18"/>
                <w:szCs w:val="18"/>
              </w:rPr>
              <w:t>Mining and Energy</w:t>
            </w:r>
          </w:p>
        </w:tc>
        <w:tc>
          <w:tcPr>
            <w:tcW w:w="1930" w:type="dxa"/>
            <w:hideMark/>
          </w:tcPr>
          <w:p w14:paraId="3871D0F0" w14:textId="77777777" w:rsidR="00D330A5" w:rsidRPr="001D4D1C" w:rsidRDefault="00D330A5"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1D4D1C">
              <w:rPr>
                <w:rFonts w:eastAsia="Times New Roman"/>
                <w:sz w:val="18"/>
                <w:szCs w:val="18"/>
              </w:rPr>
              <w:t>Petroleum titles</w:t>
            </w:r>
          </w:p>
        </w:tc>
        <w:tc>
          <w:tcPr>
            <w:tcW w:w="5214" w:type="dxa"/>
            <w:hideMark/>
          </w:tcPr>
          <w:p w14:paraId="01695FD5" w14:textId="77777777" w:rsidR="00D330A5" w:rsidRPr="001D4D1C" w:rsidRDefault="00D330A5"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1D4D1C">
              <w:rPr>
                <w:rFonts w:eastAsia="Times New Roman"/>
                <w:sz w:val="18"/>
                <w:szCs w:val="18"/>
              </w:rPr>
              <w:t>Records on the management of petroleum exploration and production applications, granted licences and permits, land access agreements and the administration of the offshore joint authority approval process through the minister or their delegate as governed under applicable Commonwealth and NT legislation.</w:t>
            </w:r>
          </w:p>
        </w:tc>
        <w:tc>
          <w:tcPr>
            <w:tcW w:w="1191" w:type="dxa"/>
            <w:hideMark/>
          </w:tcPr>
          <w:p w14:paraId="428E1D49" w14:textId="77777777" w:rsidR="00D330A5" w:rsidRPr="001D4D1C" w:rsidRDefault="00D330A5" w:rsidP="007F03D1">
            <w:pPr>
              <w:spacing w:before="69" w:after="69"/>
              <w:jc w:val="center"/>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1D4D1C">
              <w:rPr>
                <w:rFonts w:eastAsia="Times New Roman"/>
                <w:sz w:val="18"/>
                <w:szCs w:val="18"/>
              </w:rPr>
              <w:t>Yes</w:t>
            </w:r>
          </w:p>
        </w:tc>
        <w:tc>
          <w:tcPr>
            <w:tcW w:w="1191" w:type="dxa"/>
            <w:hideMark/>
          </w:tcPr>
          <w:p w14:paraId="6106481E" w14:textId="77777777" w:rsidR="00D330A5" w:rsidRPr="001D4D1C" w:rsidRDefault="00D330A5"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1D4D1C">
              <w:rPr>
                <w:rFonts w:eastAsia="Times New Roman"/>
                <w:sz w:val="18"/>
                <w:szCs w:val="18"/>
              </w:rPr>
              <w:t>Electronic and hard copy</w:t>
            </w:r>
          </w:p>
        </w:tc>
        <w:tc>
          <w:tcPr>
            <w:tcW w:w="1306" w:type="dxa"/>
            <w:hideMark/>
          </w:tcPr>
          <w:p w14:paraId="4909A0F5" w14:textId="77777777" w:rsidR="00D330A5" w:rsidRPr="001D4D1C" w:rsidRDefault="00D330A5"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1D4D1C">
              <w:rPr>
                <w:rFonts w:eastAsia="Times New Roman"/>
                <w:sz w:val="18"/>
                <w:szCs w:val="18"/>
              </w:rPr>
              <w:t>Yes</w:t>
            </w:r>
          </w:p>
        </w:tc>
        <w:tc>
          <w:tcPr>
            <w:tcW w:w="1307" w:type="dxa"/>
            <w:hideMark/>
          </w:tcPr>
          <w:p w14:paraId="1170ACBA" w14:textId="77777777" w:rsidR="00D330A5" w:rsidRPr="001D4D1C" w:rsidRDefault="00D330A5"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1D4D1C">
              <w:rPr>
                <w:rFonts w:eastAsia="Times New Roman"/>
                <w:sz w:val="18"/>
                <w:szCs w:val="18"/>
              </w:rPr>
              <w:t>Yes</w:t>
            </w:r>
          </w:p>
        </w:tc>
        <w:tc>
          <w:tcPr>
            <w:tcW w:w="1307" w:type="dxa"/>
            <w:hideMark/>
          </w:tcPr>
          <w:p w14:paraId="2A9F0741" w14:textId="77777777" w:rsidR="00D330A5" w:rsidRPr="001D4D1C" w:rsidRDefault="00D330A5"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1D4D1C">
              <w:rPr>
                <w:rFonts w:eastAsia="Times New Roman"/>
                <w:sz w:val="18"/>
                <w:szCs w:val="18"/>
              </w:rPr>
              <w:t>Yes</w:t>
            </w:r>
          </w:p>
        </w:tc>
      </w:tr>
      <w:tr w:rsidR="00D330A5" w:rsidRPr="001D4D1C" w14:paraId="5AFF6C36" w14:textId="77777777" w:rsidTr="00D330A5">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23" w:type="dxa"/>
            <w:hideMark/>
          </w:tcPr>
          <w:p w14:paraId="642C34AA" w14:textId="77777777" w:rsidR="00D330A5" w:rsidRPr="001D4D1C" w:rsidRDefault="00D330A5" w:rsidP="007F03D1">
            <w:pPr>
              <w:spacing w:before="69" w:after="69"/>
              <w:rPr>
                <w:rFonts w:eastAsia="Times New Roman"/>
                <w:b/>
                <w:bCs/>
                <w:sz w:val="18"/>
                <w:szCs w:val="18"/>
              </w:rPr>
            </w:pPr>
            <w:r w:rsidRPr="001D4D1C">
              <w:rPr>
                <w:rFonts w:eastAsia="Times New Roman"/>
                <w:b/>
                <w:bCs/>
                <w:sz w:val="18"/>
                <w:szCs w:val="18"/>
              </w:rPr>
              <w:t>Mining and Energy</w:t>
            </w:r>
          </w:p>
        </w:tc>
        <w:tc>
          <w:tcPr>
            <w:tcW w:w="1930" w:type="dxa"/>
            <w:hideMark/>
          </w:tcPr>
          <w:p w14:paraId="0EED51C0" w14:textId="77777777" w:rsidR="00D330A5" w:rsidRPr="001D4D1C" w:rsidRDefault="00D330A5"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D4D1C">
              <w:rPr>
                <w:rFonts w:eastAsia="Times New Roman"/>
                <w:sz w:val="18"/>
                <w:szCs w:val="18"/>
              </w:rPr>
              <w:t>Legacy</w:t>
            </w:r>
          </w:p>
        </w:tc>
        <w:tc>
          <w:tcPr>
            <w:tcW w:w="5214" w:type="dxa"/>
            <w:hideMark/>
          </w:tcPr>
          <w:p w14:paraId="4165ED1F" w14:textId="77777777" w:rsidR="00D330A5" w:rsidRPr="001D4D1C" w:rsidRDefault="00D330A5"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D4D1C">
              <w:rPr>
                <w:rFonts w:eastAsia="Times New Roman"/>
                <w:sz w:val="18"/>
                <w:szCs w:val="18"/>
              </w:rPr>
              <w:t xml:space="preserve">Records relating to </w:t>
            </w:r>
            <w:r w:rsidRPr="00836520">
              <w:rPr>
                <w:rFonts w:eastAsia="Times New Roman"/>
                <w:sz w:val="18"/>
                <w:szCs w:val="18"/>
              </w:rPr>
              <w:t xml:space="preserve">responsibilities under the </w:t>
            </w:r>
            <w:r w:rsidRPr="00D11787">
              <w:rPr>
                <w:rFonts w:eastAsia="Times New Roman"/>
                <w:sz w:val="18"/>
                <w:szCs w:val="18"/>
              </w:rPr>
              <w:t>Legacy Mines Remediation Act 2023</w:t>
            </w:r>
            <w:r w:rsidRPr="00836520">
              <w:rPr>
                <w:rFonts w:eastAsia="Times New Roman"/>
                <w:sz w:val="18"/>
                <w:szCs w:val="18"/>
              </w:rPr>
              <w:t>,</w:t>
            </w:r>
            <w:r w:rsidRPr="00D11787">
              <w:rPr>
                <w:rFonts w:eastAsia="Times New Roman"/>
                <w:sz w:val="18"/>
                <w:szCs w:val="18"/>
              </w:rPr>
              <w:t xml:space="preserve"> </w:t>
            </w:r>
            <w:r w:rsidRPr="00836520">
              <w:rPr>
                <w:rFonts w:eastAsia="Times New Roman"/>
                <w:sz w:val="18"/>
                <w:szCs w:val="18"/>
              </w:rPr>
              <w:t>including de</w:t>
            </w:r>
            <w:r w:rsidRPr="001D4D1C">
              <w:rPr>
                <w:rFonts w:eastAsia="Times New Roman"/>
                <w:sz w:val="18"/>
                <w:szCs w:val="18"/>
              </w:rPr>
              <w:t xml:space="preserve">livering legacy mine remediation across the Territory. </w:t>
            </w:r>
          </w:p>
        </w:tc>
        <w:tc>
          <w:tcPr>
            <w:tcW w:w="1191" w:type="dxa"/>
            <w:hideMark/>
          </w:tcPr>
          <w:p w14:paraId="7E4684D7" w14:textId="77777777" w:rsidR="00D330A5" w:rsidRPr="001D4D1C" w:rsidRDefault="00D330A5" w:rsidP="007F03D1">
            <w:pPr>
              <w:spacing w:before="69" w:after="69"/>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D4D1C">
              <w:rPr>
                <w:rFonts w:eastAsia="Times New Roman"/>
                <w:sz w:val="18"/>
                <w:szCs w:val="18"/>
              </w:rPr>
              <w:t>Yes</w:t>
            </w:r>
          </w:p>
        </w:tc>
        <w:tc>
          <w:tcPr>
            <w:tcW w:w="1191" w:type="dxa"/>
            <w:hideMark/>
          </w:tcPr>
          <w:p w14:paraId="7263305A" w14:textId="77777777" w:rsidR="00D330A5" w:rsidRPr="001D4D1C" w:rsidRDefault="00D330A5"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D4D1C">
              <w:rPr>
                <w:rFonts w:eastAsia="Times New Roman"/>
                <w:sz w:val="18"/>
                <w:szCs w:val="18"/>
              </w:rPr>
              <w:t>Electronic and hard copy</w:t>
            </w:r>
          </w:p>
        </w:tc>
        <w:tc>
          <w:tcPr>
            <w:tcW w:w="1306" w:type="dxa"/>
            <w:hideMark/>
          </w:tcPr>
          <w:p w14:paraId="6242DD76" w14:textId="77777777" w:rsidR="00D330A5" w:rsidRPr="001D4D1C" w:rsidRDefault="00D330A5"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D4D1C">
              <w:rPr>
                <w:rFonts w:eastAsia="Times New Roman"/>
                <w:sz w:val="18"/>
                <w:szCs w:val="18"/>
              </w:rPr>
              <w:t>No</w:t>
            </w:r>
          </w:p>
        </w:tc>
        <w:tc>
          <w:tcPr>
            <w:tcW w:w="1307" w:type="dxa"/>
            <w:hideMark/>
          </w:tcPr>
          <w:p w14:paraId="3A36DFF1" w14:textId="77777777" w:rsidR="00D330A5" w:rsidRPr="001D4D1C" w:rsidRDefault="00D330A5"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D4D1C">
              <w:rPr>
                <w:rFonts w:eastAsia="Times New Roman"/>
                <w:sz w:val="18"/>
                <w:szCs w:val="18"/>
              </w:rPr>
              <w:t>No</w:t>
            </w:r>
          </w:p>
        </w:tc>
        <w:tc>
          <w:tcPr>
            <w:tcW w:w="1307" w:type="dxa"/>
            <w:hideMark/>
          </w:tcPr>
          <w:p w14:paraId="663A05DA" w14:textId="77777777" w:rsidR="00D330A5" w:rsidRPr="001D4D1C" w:rsidRDefault="00D330A5"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D4D1C">
              <w:rPr>
                <w:rFonts w:eastAsia="Times New Roman"/>
                <w:sz w:val="18"/>
                <w:szCs w:val="18"/>
              </w:rPr>
              <w:t>Yes</w:t>
            </w:r>
          </w:p>
        </w:tc>
      </w:tr>
      <w:tr w:rsidR="00D330A5" w:rsidRPr="001D4D1C" w14:paraId="6EC0BC32" w14:textId="77777777" w:rsidTr="00D330A5">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23" w:type="dxa"/>
            <w:hideMark/>
          </w:tcPr>
          <w:p w14:paraId="13E742AA" w14:textId="77777777" w:rsidR="00D330A5" w:rsidRPr="001D4D1C" w:rsidRDefault="00D330A5" w:rsidP="007F03D1">
            <w:pPr>
              <w:spacing w:before="69" w:after="69"/>
              <w:rPr>
                <w:rFonts w:eastAsia="Times New Roman"/>
                <w:b/>
                <w:bCs/>
                <w:sz w:val="18"/>
                <w:szCs w:val="18"/>
              </w:rPr>
            </w:pPr>
            <w:r w:rsidRPr="001D4D1C">
              <w:rPr>
                <w:rFonts w:eastAsia="Times New Roman"/>
                <w:b/>
                <w:bCs/>
                <w:sz w:val="18"/>
                <w:szCs w:val="18"/>
              </w:rPr>
              <w:t>Mining and Energy</w:t>
            </w:r>
          </w:p>
        </w:tc>
        <w:tc>
          <w:tcPr>
            <w:tcW w:w="1930" w:type="dxa"/>
            <w:hideMark/>
          </w:tcPr>
          <w:p w14:paraId="29F52E94" w14:textId="77777777" w:rsidR="00D330A5" w:rsidRPr="001D4D1C" w:rsidRDefault="00D330A5"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1C5965">
              <w:rPr>
                <w:rFonts w:eastAsia="Times New Roman"/>
                <w:sz w:val="18"/>
                <w:szCs w:val="18"/>
              </w:rPr>
              <w:t>Rum Jungle Rehabilitation Project</w:t>
            </w:r>
          </w:p>
        </w:tc>
        <w:tc>
          <w:tcPr>
            <w:tcW w:w="5214" w:type="dxa"/>
            <w:hideMark/>
          </w:tcPr>
          <w:p w14:paraId="3E08ADCC" w14:textId="77777777" w:rsidR="00D330A5" w:rsidRPr="001D4D1C" w:rsidRDefault="00D330A5"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1D4D1C">
              <w:rPr>
                <w:rFonts w:eastAsia="Times New Roman"/>
                <w:sz w:val="18"/>
                <w:szCs w:val="18"/>
              </w:rPr>
              <w:t>Records on rehabilitation of the former Rum Jungle uranium mine located in Batchelor, 105kms south of Darwin.</w:t>
            </w:r>
          </w:p>
        </w:tc>
        <w:tc>
          <w:tcPr>
            <w:tcW w:w="1191" w:type="dxa"/>
            <w:hideMark/>
          </w:tcPr>
          <w:p w14:paraId="6E003044" w14:textId="77777777" w:rsidR="00D330A5" w:rsidRPr="001D4D1C" w:rsidRDefault="00D330A5" w:rsidP="007F03D1">
            <w:pPr>
              <w:spacing w:before="69" w:after="69"/>
              <w:jc w:val="center"/>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1D4D1C">
              <w:rPr>
                <w:rFonts w:eastAsia="Times New Roman"/>
                <w:sz w:val="18"/>
                <w:szCs w:val="18"/>
              </w:rPr>
              <w:t>Yes</w:t>
            </w:r>
          </w:p>
        </w:tc>
        <w:tc>
          <w:tcPr>
            <w:tcW w:w="1191" w:type="dxa"/>
            <w:hideMark/>
          </w:tcPr>
          <w:p w14:paraId="184893A5" w14:textId="77777777" w:rsidR="00D330A5" w:rsidRPr="001D4D1C" w:rsidRDefault="00D330A5"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1D4D1C">
              <w:rPr>
                <w:rFonts w:eastAsia="Times New Roman"/>
                <w:sz w:val="18"/>
                <w:szCs w:val="18"/>
              </w:rPr>
              <w:t>Electronic and hard copy</w:t>
            </w:r>
          </w:p>
        </w:tc>
        <w:tc>
          <w:tcPr>
            <w:tcW w:w="1306" w:type="dxa"/>
            <w:hideMark/>
          </w:tcPr>
          <w:p w14:paraId="3354ECFF" w14:textId="77777777" w:rsidR="00D330A5" w:rsidRPr="001D4D1C" w:rsidRDefault="00D330A5"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1D4D1C">
              <w:rPr>
                <w:rFonts w:eastAsia="Times New Roman"/>
                <w:sz w:val="18"/>
                <w:szCs w:val="18"/>
              </w:rPr>
              <w:t>No</w:t>
            </w:r>
          </w:p>
        </w:tc>
        <w:tc>
          <w:tcPr>
            <w:tcW w:w="1307" w:type="dxa"/>
            <w:hideMark/>
          </w:tcPr>
          <w:p w14:paraId="5C14B41F" w14:textId="77777777" w:rsidR="00D330A5" w:rsidRPr="001D4D1C" w:rsidRDefault="00D330A5"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1D4D1C">
              <w:rPr>
                <w:rFonts w:eastAsia="Times New Roman"/>
                <w:sz w:val="18"/>
                <w:szCs w:val="18"/>
              </w:rPr>
              <w:t>No</w:t>
            </w:r>
          </w:p>
        </w:tc>
        <w:tc>
          <w:tcPr>
            <w:tcW w:w="1307" w:type="dxa"/>
            <w:hideMark/>
          </w:tcPr>
          <w:p w14:paraId="214F0006" w14:textId="77777777" w:rsidR="00D330A5" w:rsidRPr="001D4D1C" w:rsidRDefault="00D330A5"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1D4D1C">
              <w:rPr>
                <w:rFonts w:eastAsia="Times New Roman"/>
                <w:sz w:val="18"/>
                <w:szCs w:val="18"/>
              </w:rPr>
              <w:t>Yes</w:t>
            </w:r>
          </w:p>
        </w:tc>
      </w:tr>
      <w:tr w:rsidR="00D330A5" w:rsidRPr="001D4D1C" w14:paraId="0597DA3A" w14:textId="77777777" w:rsidTr="00D330A5">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23" w:type="dxa"/>
          </w:tcPr>
          <w:p w14:paraId="7300B815" w14:textId="77777777" w:rsidR="00D330A5" w:rsidRPr="001D4D1C" w:rsidRDefault="00D330A5" w:rsidP="007F03D1">
            <w:pPr>
              <w:spacing w:before="69" w:after="69"/>
              <w:rPr>
                <w:rFonts w:eastAsia="Times New Roman"/>
                <w:b/>
                <w:bCs/>
                <w:sz w:val="18"/>
                <w:szCs w:val="18"/>
              </w:rPr>
            </w:pPr>
            <w:r w:rsidRPr="001D4D1C">
              <w:rPr>
                <w:rFonts w:eastAsia="Times New Roman"/>
                <w:b/>
                <w:bCs/>
                <w:sz w:val="18"/>
                <w:szCs w:val="18"/>
              </w:rPr>
              <w:t>Mining and Energy</w:t>
            </w:r>
          </w:p>
        </w:tc>
        <w:tc>
          <w:tcPr>
            <w:tcW w:w="1930" w:type="dxa"/>
          </w:tcPr>
          <w:p w14:paraId="7DA2E973" w14:textId="77777777" w:rsidR="00D330A5" w:rsidRPr="001D4D1C" w:rsidRDefault="00D330A5"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D4D1C">
              <w:rPr>
                <w:rFonts w:eastAsia="Times New Roman"/>
                <w:sz w:val="18"/>
                <w:szCs w:val="18"/>
              </w:rPr>
              <w:t xml:space="preserve">Facilitated </w:t>
            </w:r>
            <w:r>
              <w:rPr>
                <w:rFonts w:eastAsia="Times New Roman"/>
                <w:sz w:val="18"/>
                <w:szCs w:val="18"/>
              </w:rPr>
              <w:t>p</w:t>
            </w:r>
            <w:r w:rsidRPr="001D4D1C">
              <w:rPr>
                <w:rFonts w:eastAsia="Times New Roman"/>
                <w:sz w:val="18"/>
                <w:szCs w:val="18"/>
              </w:rPr>
              <w:t>rojects</w:t>
            </w:r>
          </w:p>
        </w:tc>
        <w:tc>
          <w:tcPr>
            <w:tcW w:w="5214" w:type="dxa"/>
          </w:tcPr>
          <w:p w14:paraId="6DE2C94D" w14:textId="77777777" w:rsidR="00D330A5" w:rsidRPr="001D4D1C" w:rsidRDefault="00D330A5"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D4D1C">
              <w:rPr>
                <w:rFonts w:eastAsia="Times New Roman"/>
                <w:sz w:val="18"/>
                <w:szCs w:val="18"/>
              </w:rPr>
              <w:t>Records related to private sector project facilitation.</w:t>
            </w:r>
          </w:p>
        </w:tc>
        <w:tc>
          <w:tcPr>
            <w:tcW w:w="1191" w:type="dxa"/>
          </w:tcPr>
          <w:p w14:paraId="305177CC" w14:textId="77777777" w:rsidR="00D330A5" w:rsidRPr="001D4D1C" w:rsidRDefault="00D330A5" w:rsidP="007F03D1">
            <w:pPr>
              <w:spacing w:before="69" w:after="69"/>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D4D1C">
              <w:rPr>
                <w:rFonts w:eastAsia="Times New Roman"/>
                <w:sz w:val="18"/>
                <w:szCs w:val="18"/>
              </w:rPr>
              <w:t>Yes</w:t>
            </w:r>
          </w:p>
        </w:tc>
        <w:tc>
          <w:tcPr>
            <w:tcW w:w="1191" w:type="dxa"/>
          </w:tcPr>
          <w:p w14:paraId="406DAB72" w14:textId="77777777" w:rsidR="00D330A5" w:rsidRPr="001D4D1C" w:rsidRDefault="00D330A5"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D4D1C">
              <w:rPr>
                <w:rFonts w:eastAsia="Times New Roman"/>
                <w:sz w:val="18"/>
                <w:szCs w:val="18"/>
              </w:rPr>
              <w:t>Electronic and hard copies</w:t>
            </w:r>
          </w:p>
        </w:tc>
        <w:tc>
          <w:tcPr>
            <w:tcW w:w="1306" w:type="dxa"/>
          </w:tcPr>
          <w:p w14:paraId="4A570230" w14:textId="77777777" w:rsidR="00D330A5" w:rsidRPr="001D4D1C" w:rsidRDefault="00D330A5"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D4D1C">
              <w:rPr>
                <w:rFonts w:eastAsia="Times New Roman"/>
                <w:sz w:val="18"/>
                <w:szCs w:val="18"/>
              </w:rPr>
              <w:t>No</w:t>
            </w:r>
          </w:p>
        </w:tc>
        <w:tc>
          <w:tcPr>
            <w:tcW w:w="1307" w:type="dxa"/>
          </w:tcPr>
          <w:p w14:paraId="06FBDA1C" w14:textId="77777777" w:rsidR="00D330A5" w:rsidRPr="001D4D1C" w:rsidRDefault="00D330A5"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D4D1C">
              <w:rPr>
                <w:rFonts w:eastAsia="Times New Roman"/>
                <w:sz w:val="18"/>
                <w:szCs w:val="18"/>
              </w:rPr>
              <w:t>No</w:t>
            </w:r>
          </w:p>
        </w:tc>
        <w:tc>
          <w:tcPr>
            <w:tcW w:w="1307" w:type="dxa"/>
          </w:tcPr>
          <w:p w14:paraId="06EB2284" w14:textId="77777777" w:rsidR="00D330A5" w:rsidRPr="001D4D1C" w:rsidRDefault="00D330A5"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D4D1C">
              <w:rPr>
                <w:rFonts w:eastAsia="Times New Roman"/>
                <w:sz w:val="18"/>
                <w:szCs w:val="18"/>
              </w:rPr>
              <w:t>No</w:t>
            </w:r>
          </w:p>
        </w:tc>
      </w:tr>
      <w:tr w:rsidR="00D330A5" w:rsidRPr="001D4D1C" w14:paraId="49C8D12F" w14:textId="77777777" w:rsidTr="00D330A5">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23" w:type="dxa"/>
            <w:hideMark/>
          </w:tcPr>
          <w:p w14:paraId="2D9BA65B" w14:textId="77777777" w:rsidR="00D330A5" w:rsidRPr="001D4D1C" w:rsidRDefault="00D330A5" w:rsidP="007F03D1">
            <w:pPr>
              <w:spacing w:before="69" w:after="69"/>
              <w:rPr>
                <w:rFonts w:eastAsia="Times New Roman"/>
                <w:b/>
                <w:bCs/>
                <w:sz w:val="18"/>
                <w:szCs w:val="18"/>
              </w:rPr>
            </w:pPr>
            <w:r w:rsidRPr="001D4D1C">
              <w:rPr>
                <w:rFonts w:eastAsia="Times New Roman"/>
                <w:b/>
                <w:bCs/>
                <w:sz w:val="18"/>
                <w:szCs w:val="18"/>
              </w:rPr>
              <w:t>Corporate Services</w:t>
            </w:r>
          </w:p>
        </w:tc>
        <w:tc>
          <w:tcPr>
            <w:tcW w:w="1930" w:type="dxa"/>
            <w:hideMark/>
          </w:tcPr>
          <w:p w14:paraId="4749CF3E" w14:textId="77777777" w:rsidR="00D330A5" w:rsidRPr="001D4D1C" w:rsidRDefault="00D330A5"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1D4D1C">
              <w:rPr>
                <w:rFonts w:eastAsia="Times New Roman"/>
                <w:sz w:val="18"/>
                <w:szCs w:val="18"/>
              </w:rPr>
              <w:t>Financial management and corporate governance</w:t>
            </w:r>
          </w:p>
        </w:tc>
        <w:tc>
          <w:tcPr>
            <w:tcW w:w="5214" w:type="dxa"/>
            <w:hideMark/>
          </w:tcPr>
          <w:p w14:paraId="75A063B9" w14:textId="77777777" w:rsidR="00D330A5" w:rsidRPr="001D4D1C" w:rsidRDefault="00D330A5"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1D4D1C">
              <w:rPr>
                <w:rFonts w:eastAsia="Times New Roman"/>
                <w:sz w:val="18"/>
                <w:szCs w:val="18"/>
              </w:rPr>
              <w:t>Records on the development and management of financial records and corporate governance activities.</w:t>
            </w:r>
          </w:p>
        </w:tc>
        <w:tc>
          <w:tcPr>
            <w:tcW w:w="1191" w:type="dxa"/>
            <w:hideMark/>
          </w:tcPr>
          <w:p w14:paraId="251EA71F" w14:textId="77777777" w:rsidR="00D330A5" w:rsidRPr="001D4D1C" w:rsidRDefault="00D330A5" w:rsidP="007F03D1">
            <w:pPr>
              <w:spacing w:before="69" w:after="69"/>
              <w:jc w:val="center"/>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1D4D1C">
              <w:rPr>
                <w:rFonts w:eastAsia="Times New Roman"/>
                <w:sz w:val="18"/>
                <w:szCs w:val="18"/>
              </w:rPr>
              <w:t>Yes</w:t>
            </w:r>
          </w:p>
        </w:tc>
        <w:tc>
          <w:tcPr>
            <w:tcW w:w="1191" w:type="dxa"/>
            <w:hideMark/>
          </w:tcPr>
          <w:p w14:paraId="23FE0DEE" w14:textId="77777777" w:rsidR="00D330A5" w:rsidRPr="001D4D1C" w:rsidRDefault="00D330A5"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1D4D1C">
              <w:rPr>
                <w:rFonts w:eastAsia="Times New Roman"/>
                <w:sz w:val="18"/>
                <w:szCs w:val="18"/>
              </w:rPr>
              <w:t xml:space="preserve">Electronic and hard copy </w:t>
            </w:r>
          </w:p>
        </w:tc>
        <w:tc>
          <w:tcPr>
            <w:tcW w:w="1306" w:type="dxa"/>
            <w:hideMark/>
          </w:tcPr>
          <w:p w14:paraId="646929BE" w14:textId="77777777" w:rsidR="00D330A5" w:rsidRPr="001D4D1C" w:rsidRDefault="00D330A5"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1D4D1C">
              <w:rPr>
                <w:rFonts w:eastAsia="Times New Roman"/>
                <w:sz w:val="18"/>
                <w:szCs w:val="18"/>
              </w:rPr>
              <w:t>Yes</w:t>
            </w:r>
          </w:p>
        </w:tc>
        <w:tc>
          <w:tcPr>
            <w:tcW w:w="1307" w:type="dxa"/>
            <w:hideMark/>
          </w:tcPr>
          <w:p w14:paraId="31734666" w14:textId="77777777" w:rsidR="00D330A5" w:rsidRPr="001D4D1C" w:rsidRDefault="00D330A5"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1D4D1C">
              <w:rPr>
                <w:rFonts w:eastAsia="Times New Roman"/>
                <w:sz w:val="18"/>
                <w:szCs w:val="18"/>
              </w:rPr>
              <w:t>No</w:t>
            </w:r>
          </w:p>
        </w:tc>
        <w:tc>
          <w:tcPr>
            <w:tcW w:w="1307" w:type="dxa"/>
            <w:hideMark/>
          </w:tcPr>
          <w:p w14:paraId="2E6091DF" w14:textId="77777777" w:rsidR="00D330A5" w:rsidRPr="001D4D1C" w:rsidRDefault="00D330A5" w:rsidP="007F03D1">
            <w:pPr>
              <w:spacing w:before="69" w:after="69"/>
              <w:cnfStyle w:val="000000010000" w:firstRow="0" w:lastRow="0" w:firstColumn="0" w:lastColumn="0" w:oddVBand="0" w:evenVBand="0" w:oddHBand="0" w:evenHBand="1" w:firstRowFirstColumn="0" w:firstRowLastColumn="0" w:lastRowFirstColumn="0" w:lastRowLastColumn="0"/>
              <w:rPr>
                <w:rFonts w:eastAsia="Times New Roman"/>
                <w:sz w:val="18"/>
                <w:szCs w:val="18"/>
              </w:rPr>
            </w:pPr>
            <w:r w:rsidRPr="001D4D1C">
              <w:rPr>
                <w:rFonts w:eastAsia="Times New Roman"/>
                <w:sz w:val="18"/>
                <w:szCs w:val="18"/>
              </w:rPr>
              <w:t>Yes</w:t>
            </w:r>
          </w:p>
        </w:tc>
      </w:tr>
      <w:tr w:rsidR="00D330A5" w:rsidRPr="001D4D1C" w14:paraId="373DE320" w14:textId="77777777" w:rsidTr="00D330A5">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23" w:type="dxa"/>
            <w:hideMark/>
          </w:tcPr>
          <w:p w14:paraId="380DC241" w14:textId="77777777" w:rsidR="00D330A5" w:rsidRPr="001D4D1C" w:rsidRDefault="00D330A5" w:rsidP="007F03D1">
            <w:pPr>
              <w:spacing w:before="69" w:after="69"/>
              <w:rPr>
                <w:rFonts w:eastAsia="Times New Roman"/>
                <w:b/>
                <w:bCs/>
                <w:sz w:val="18"/>
                <w:szCs w:val="18"/>
              </w:rPr>
            </w:pPr>
            <w:r w:rsidRPr="001D4D1C">
              <w:rPr>
                <w:rFonts w:eastAsia="Times New Roman"/>
                <w:b/>
                <w:bCs/>
                <w:sz w:val="18"/>
                <w:szCs w:val="18"/>
              </w:rPr>
              <w:t>Corporate Services</w:t>
            </w:r>
          </w:p>
        </w:tc>
        <w:tc>
          <w:tcPr>
            <w:tcW w:w="1930" w:type="dxa"/>
            <w:hideMark/>
          </w:tcPr>
          <w:p w14:paraId="02E20AB6" w14:textId="77777777" w:rsidR="00D330A5" w:rsidRPr="001D4D1C" w:rsidRDefault="00D330A5"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D4D1C">
              <w:rPr>
                <w:rFonts w:eastAsia="Times New Roman"/>
                <w:sz w:val="18"/>
                <w:szCs w:val="18"/>
              </w:rPr>
              <w:t xml:space="preserve">Work health and safety </w:t>
            </w:r>
          </w:p>
        </w:tc>
        <w:tc>
          <w:tcPr>
            <w:tcW w:w="5214" w:type="dxa"/>
            <w:hideMark/>
          </w:tcPr>
          <w:p w14:paraId="34C1AC74" w14:textId="77777777" w:rsidR="00D330A5" w:rsidRPr="001D4D1C" w:rsidRDefault="00D330A5"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D4D1C">
              <w:rPr>
                <w:rFonts w:eastAsia="Times New Roman"/>
                <w:sz w:val="18"/>
                <w:szCs w:val="18"/>
              </w:rPr>
              <w:t>Recordings relating to the management of work health and safety.</w:t>
            </w:r>
          </w:p>
        </w:tc>
        <w:tc>
          <w:tcPr>
            <w:tcW w:w="1191" w:type="dxa"/>
            <w:hideMark/>
          </w:tcPr>
          <w:p w14:paraId="0501AACC" w14:textId="77777777" w:rsidR="00D330A5" w:rsidRPr="001D4D1C" w:rsidRDefault="00D330A5" w:rsidP="007F03D1">
            <w:pPr>
              <w:spacing w:before="69" w:after="69"/>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D4D1C">
              <w:rPr>
                <w:rFonts w:eastAsia="Times New Roman"/>
                <w:sz w:val="18"/>
                <w:szCs w:val="18"/>
              </w:rPr>
              <w:t>Yes</w:t>
            </w:r>
          </w:p>
        </w:tc>
        <w:tc>
          <w:tcPr>
            <w:tcW w:w="1191" w:type="dxa"/>
            <w:hideMark/>
          </w:tcPr>
          <w:p w14:paraId="2C02179F" w14:textId="77777777" w:rsidR="00D330A5" w:rsidRPr="001D4D1C" w:rsidRDefault="00D330A5"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D4D1C">
              <w:rPr>
                <w:rFonts w:eastAsia="Times New Roman"/>
                <w:sz w:val="18"/>
                <w:szCs w:val="18"/>
              </w:rPr>
              <w:t>Electronic and hard copy</w:t>
            </w:r>
          </w:p>
        </w:tc>
        <w:tc>
          <w:tcPr>
            <w:tcW w:w="1306" w:type="dxa"/>
            <w:hideMark/>
          </w:tcPr>
          <w:p w14:paraId="6750FB7C" w14:textId="77777777" w:rsidR="00D330A5" w:rsidRPr="001D4D1C" w:rsidRDefault="00D330A5"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D4D1C">
              <w:rPr>
                <w:rFonts w:eastAsia="Times New Roman"/>
                <w:sz w:val="18"/>
                <w:szCs w:val="18"/>
              </w:rPr>
              <w:t>No</w:t>
            </w:r>
          </w:p>
        </w:tc>
        <w:tc>
          <w:tcPr>
            <w:tcW w:w="1307" w:type="dxa"/>
            <w:hideMark/>
          </w:tcPr>
          <w:p w14:paraId="28CCC440" w14:textId="77777777" w:rsidR="00D330A5" w:rsidRPr="001D4D1C" w:rsidRDefault="00D330A5"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D4D1C">
              <w:rPr>
                <w:rFonts w:eastAsia="Times New Roman"/>
                <w:sz w:val="18"/>
                <w:szCs w:val="18"/>
              </w:rPr>
              <w:t>No</w:t>
            </w:r>
          </w:p>
        </w:tc>
        <w:tc>
          <w:tcPr>
            <w:tcW w:w="1307" w:type="dxa"/>
            <w:hideMark/>
          </w:tcPr>
          <w:p w14:paraId="52919CEC" w14:textId="77777777" w:rsidR="00D330A5" w:rsidRPr="001D4D1C" w:rsidRDefault="00D330A5" w:rsidP="007F03D1">
            <w:pPr>
              <w:spacing w:before="69" w:after="69"/>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D4D1C">
              <w:rPr>
                <w:rFonts w:eastAsia="Times New Roman"/>
                <w:sz w:val="18"/>
                <w:szCs w:val="18"/>
              </w:rPr>
              <w:t>No</w:t>
            </w:r>
          </w:p>
        </w:tc>
      </w:tr>
    </w:tbl>
    <w:p w14:paraId="01D4D49B" w14:textId="77777777" w:rsidR="00F70358" w:rsidRPr="00F70358" w:rsidRDefault="00F70358" w:rsidP="00F70358"/>
    <w:sectPr w:rsidR="00F70358" w:rsidRPr="00F70358" w:rsidSect="009254DC">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A777A" w14:textId="77777777" w:rsidR="00D52DC0" w:rsidRDefault="00D52DC0" w:rsidP="007332FF">
      <w:r>
        <w:separator/>
      </w:r>
    </w:p>
  </w:endnote>
  <w:endnote w:type="continuationSeparator" w:id="0">
    <w:p w14:paraId="34EF5916" w14:textId="77777777" w:rsidR="00D52DC0" w:rsidRDefault="00D52DC0"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802A1" w14:textId="77777777" w:rsidR="00D16622" w:rsidRDefault="00D166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CB4C3" w14:textId="77777777" w:rsidR="00983000" w:rsidRDefault="00983000" w:rsidP="00450636">
    <w:pPr>
      <w:spacing w:after="0"/>
    </w:pPr>
  </w:p>
  <w:tbl>
    <w:tblPr>
      <w:tblW w:w="15250"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5250"/>
    </w:tblGrid>
    <w:tr w:rsidR="00CA36A0" w:rsidRPr="00132658" w14:paraId="0EA3EF3B" w14:textId="77777777" w:rsidTr="003226BC">
      <w:trPr>
        <w:cantSplit/>
        <w:trHeight w:hRule="exact" w:val="850"/>
      </w:trPr>
      <w:tc>
        <w:tcPr>
          <w:tcW w:w="15250" w:type="dxa"/>
          <w:vAlign w:val="bottom"/>
        </w:tcPr>
        <w:p w14:paraId="1ACF7781" w14:textId="327FB7DB" w:rsidR="00D47DC7" w:rsidRDefault="00D47DC7"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Content>
              <w:r w:rsidR="00D330A5">
                <w:rPr>
                  <w:rStyle w:val="PageNumber"/>
                  <w:b/>
                </w:rPr>
                <w:t>MINING AND ENERGY</w:t>
              </w:r>
            </w:sdtContent>
          </w:sdt>
          <w:r w:rsidRPr="00CE6614">
            <w:rPr>
              <w:rStyle w:val="PageNumber"/>
            </w:rPr>
            <w:t xml:space="preserve"> </w:t>
          </w:r>
        </w:p>
        <w:p w14:paraId="3C2FBE4A" w14:textId="73D9445C" w:rsidR="00CA36A0" w:rsidRPr="00AC4488" w:rsidRDefault="00921FFE" w:rsidP="00D47DC7">
          <w:pPr>
            <w:spacing w:after="0"/>
            <w:rPr>
              <w:rStyle w:val="PageNumber"/>
            </w:rPr>
          </w:pPr>
          <w:r>
            <w:rPr>
              <w:rStyle w:val="PageNumber"/>
            </w:rPr>
            <w:t xml:space="preserve">30 September 2025 | </w:t>
          </w:r>
          <w:r w:rsidR="00D47DC7" w:rsidRPr="00AC4488">
            <w:rPr>
              <w:rStyle w:val="PageNumber"/>
            </w:rPr>
            <w:t xml:space="preserve">Page </w:t>
          </w:r>
          <w:r w:rsidR="00D47DC7" w:rsidRPr="00AC4488">
            <w:rPr>
              <w:rStyle w:val="PageNumber"/>
            </w:rPr>
            <w:fldChar w:fldCharType="begin"/>
          </w:r>
          <w:r w:rsidR="00D47DC7" w:rsidRPr="00AC4488">
            <w:rPr>
              <w:rStyle w:val="PageNumber"/>
            </w:rPr>
            <w:instrText xml:space="preserve"> PAGE  \* Arabic  \* MERGEFORMAT </w:instrText>
          </w:r>
          <w:r w:rsidR="00D47DC7" w:rsidRPr="00AC4488">
            <w:rPr>
              <w:rStyle w:val="PageNumber"/>
            </w:rPr>
            <w:fldChar w:fldCharType="separate"/>
          </w:r>
          <w:r w:rsidR="00307001">
            <w:rPr>
              <w:rStyle w:val="PageNumber"/>
              <w:noProof/>
            </w:rPr>
            <w:t>2</w:t>
          </w:r>
          <w:r w:rsidR="00D47DC7" w:rsidRPr="00AC4488">
            <w:rPr>
              <w:rStyle w:val="PageNumber"/>
            </w:rPr>
            <w:fldChar w:fldCharType="end"/>
          </w:r>
          <w:r w:rsidR="00D47DC7" w:rsidRPr="00AC4488">
            <w:rPr>
              <w:rStyle w:val="PageNumber"/>
            </w:rPr>
            <w:t xml:space="preserve"> of </w:t>
          </w:r>
          <w:r w:rsidR="00D47DC7" w:rsidRPr="00AC4488">
            <w:rPr>
              <w:rStyle w:val="PageNumber"/>
            </w:rPr>
            <w:fldChar w:fldCharType="begin"/>
          </w:r>
          <w:r w:rsidR="00D47DC7" w:rsidRPr="00AC4488">
            <w:rPr>
              <w:rStyle w:val="PageNumber"/>
            </w:rPr>
            <w:instrText xml:space="preserve"> NUMPAGES  \* Arabic  \* MERGEFORMAT </w:instrText>
          </w:r>
          <w:r w:rsidR="00D47DC7" w:rsidRPr="00AC4488">
            <w:rPr>
              <w:rStyle w:val="PageNumber"/>
            </w:rPr>
            <w:fldChar w:fldCharType="separate"/>
          </w:r>
          <w:r w:rsidR="00307001">
            <w:rPr>
              <w:rStyle w:val="PageNumber"/>
              <w:noProof/>
            </w:rPr>
            <w:t>2</w:t>
          </w:r>
          <w:r w:rsidR="00D47DC7" w:rsidRPr="00AC4488">
            <w:rPr>
              <w:rStyle w:val="PageNumber"/>
            </w:rPr>
            <w:fldChar w:fldCharType="end"/>
          </w:r>
        </w:p>
      </w:tc>
    </w:tr>
  </w:tbl>
  <w:p w14:paraId="421D75D0" w14:textId="77777777" w:rsidR="00CA36A0" w:rsidRPr="00B11C67" w:rsidRDefault="00CA36A0" w:rsidP="00B11C67">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17B5" w14:textId="77777777" w:rsidR="00D15D88" w:rsidRDefault="00D15D88" w:rsidP="0071700C">
    <w:pPr>
      <w:spacing w:after="0"/>
    </w:pPr>
  </w:p>
  <w:tbl>
    <w:tblPr>
      <w:tblW w:w="15251"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12671"/>
      <w:gridCol w:w="2580"/>
    </w:tblGrid>
    <w:tr w:rsidR="0071700C" w:rsidRPr="00132658" w14:paraId="2EE08508" w14:textId="77777777" w:rsidTr="009254DC">
      <w:trPr>
        <w:cantSplit/>
        <w:trHeight w:hRule="exact" w:val="1134"/>
      </w:trPr>
      <w:tc>
        <w:tcPr>
          <w:tcW w:w="12671" w:type="dxa"/>
          <w:vAlign w:val="bottom"/>
        </w:tcPr>
        <w:p w14:paraId="585140BD" w14:textId="21C05299" w:rsidR="00D47DC7" w:rsidRDefault="00D47DC7" w:rsidP="00D47DC7">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Content>
              <w:r w:rsidR="00D330A5">
                <w:rPr>
                  <w:rStyle w:val="PageNumber"/>
                  <w:b/>
                </w:rPr>
                <w:t>MINING AND ENERGY</w:t>
              </w:r>
            </w:sdtContent>
          </w:sdt>
        </w:p>
        <w:p w14:paraId="29605F68" w14:textId="2A386965" w:rsidR="0071700C" w:rsidRPr="00CE30CF" w:rsidRDefault="00921FFE" w:rsidP="00F70358">
          <w:pPr>
            <w:spacing w:after="0"/>
            <w:rPr>
              <w:rStyle w:val="PageNumber"/>
            </w:rPr>
          </w:pPr>
          <w:r>
            <w:rPr>
              <w:rStyle w:val="PageNumber"/>
            </w:rPr>
            <w:t xml:space="preserve">30 September 2025 | </w:t>
          </w:r>
          <w:r w:rsidR="00D47DC7" w:rsidRPr="00AC4488">
            <w:rPr>
              <w:rStyle w:val="PageNumber"/>
            </w:rPr>
            <w:t xml:space="preserve">Page </w:t>
          </w:r>
          <w:r w:rsidR="00D47DC7" w:rsidRPr="00AC4488">
            <w:rPr>
              <w:rStyle w:val="PageNumber"/>
            </w:rPr>
            <w:fldChar w:fldCharType="begin"/>
          </w:r>
          <w:r w:rsidR="00D47DC7" w:rsidRPr="00AC4488">
            <w:rPr>
              <w:rStyle w:val="PageNumber"/>
            </w:rPr>
            <w:instrText xml:space="preserve"> PAGE  \* Arabic  \* MERGEFORMAT </w:instrText>
          </w:r>
          <w:r w:rsidR="00D47DC7" w:rsidRPr="00AC4488">
            <w:rPr>
              <w:rStyle w:val="PageNumber"/>
            </w:rPr>
            <w:fldChar w:fldCharType="separate"/>
          </w:r>
          <w:r w:rsidR="00307001">
            <w:rPr>
              <w:rStyle w:val="PageNumber"/>
              <w:noProof/>
            </w:rPr>
            <w:t>1</w:t>
          </w:r>
          <w:r w:rsidR="00D47DC7" w:rsidRPr="00AC4488">
            <w:rPr>
              <w:rStyle w:val="PageNumber"/>
            </w:rPr>
            <w:fldChar w:fldCharType="end"/>
          </w:r>
          <w:r w:rsidR="00D47DC7" w:rsidRPr="00AC4488">
            <w:rPr>
              <w:rStyle w:val="PageNumber"/>
            </w:rPr>
            <w:t xml:space="preserve"> of </w:t>
          </w:r>
          <w:r w:rsidR="00D47DC7" w:rsidRPr="00AC4488">
            <w:rPr>
              <w:rStyle w:val="PageNumber"/>
            </w:rPr>
            <w:fldChar w:fldCharType="begin"/>
          </w:r>
          <w:r w:rsidR="00D47DC7" w:rsidRPr="00AC4488">
            <w:rPr>
              <w:rStyle w:val="PageNumber"/>
            </w:rPr>
            <w:instrText xml:space="preserve"> NUMPAGES  \* Arabic  \* MERGEFORMAT </w:instrText>
          </w:r>
          <w:r w:rsidR="00D47DC7" w:rsidRPr="00AC4488">
            <w:rPr>
              <w:rStyle w:val="PageNumber"/>
            </w:rPr>
            <w:fldChar w:fldCharType="separate"/>
          </w:r>
          <w:r w:rsidR="00307001">
            <w:rPr>
              <w:rStyle w:val="PageNumber"/>
              <w:noProof/>
            </w:rPr>
            <w:t>1</w:t>
          </w:r>
          <w:r w:rsidR="00D47DC7" w:rsidRPr="00AC4488">
            <w:rPr>
              <w:rStyle w:val="PageNumber"/>
            </w:rPr>
            <w:fldChar w:fldCharType="end"/>
          </w:r>
        </w:p>
      </w:tc>
      <w:tc>
        <w:tcPr>
          <w:tcW w:w="2580" w:type="dxa"/>
          <w:vAlign w:val="bottom"/>
        </w:tcPr>
        <w:p w14:paraId="7138E61B" w14:textId="77777777" w:rsidR="0071700C" w:rsidRPr="001E14EB" w:rsidRDefault="0071700C" w:rsidP="0071700C">
          <w:pPr>
            <w:spacing w:after="0"/>
            <w:jc w:val="right"/>
          </w:pPr>
          <w:r>
            <w:rPr>
              <w:noProof/>
              <w:lang w:eastAsia="en-AU"/>
            </w:rPr>
            <w:drawing>
              <wp:inline distT="0" distB="0" distL="0" distR="0" wp14:anchorId="10EFC0C7" wp14:editId="58C33B21">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765C5B0B"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B7FD9" w14:textId="77777777" w:rsidR="00D52DC0" w:rsidRDefault="00D52DC0" w:rsidP="007332FF">
      <w:r>
        <w:separator/>
      </w:r>
    </w:p>
  </w:footnote>
  <w:footnote w:type="continuationSeparator" w:id="0">
    <w:p w14:paraId="1FECAA18" w14:textId="77777777" w:rsidR="00D52DC0" w:rsidRDefault="00D52DC0"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6FDD" w14:textId="77777777" w:rsidR="00D16622" w:rsidRDefault="00D166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7F717" w14:textId="25A14353" w:rsidR="00983000" w:rsidRPr="00162207" w:rsidRDefault="00000000"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Content>
        <w:r w:rsidR="00F70358">
          <w:t xml:space="preserve">Statement of Information held by the Department of </w:t>
        </w:r>
        <w:r w:rsidR="00520ACF">
          <w:t>Mining and Energy</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74CD40EF" w14:textId="2AF36CFE" w:rsidR="00E54F9E" w:rsidRDefault="00F70358" w:rsidP="00435082">
        <w:pPr>
          <w:pStyle w:val="Title"/>
        </w:pPr>
        <w:r>
          <w:rPr>
            <w:rStyle w:val="TitleChar"/>
          </w:rPr>
          <w:t xml:space="preserve">Statement of Information held by the Department of </w:t>
        </w:r>
        <w:r w:rsidR="00D330A5">
          <w:rPr>
            <w:rStyle w:val="TitleChar"/>
          </w:rPr>
          <w:t>Mining and Energy</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AB16D5"/>
    <w:multiLevelType w:val="multilevel"/>
    <w:tmpl w:val="F650FFFC"/>
    <w:lvl w:ilvl="0">
      <w:start w:val="1"/>
      <w:numFmt w:val="decimal"/>
      <w:lvlText w:val="%1."/>
      <w:lvlJc w:val="left"/>
      <w:pPr>
        <w:ind w:left="720" w:hanging="360"/>
      </w:pPr>
      <w:rPr>
        <w:rFonts w:ascii="Lato" w:hAnsi="La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8D26C06"/>
    <w:multiLevelType w:val="multilevel"/>
    <w:tmpl w:val="3E5E177A"/>
    <w:name w:val="NTG Table Bullet List33222222222222222"/>
    <w:numStyleLink w:val="Tablenumberlist"/>
  </w:abstractNum>
  <w:abstractNum w:abstractNumId="14" w15:restartNumberingAfterBreak="0">
    <w:nsid w:val="19533A06"/>
    <w:multiLevelType w:val="multilevel"/>
    <w:tmpl w:val="3928FD02"/>
    <w:name w:val="NTG Table Bullet List3222"/>
    <w:numStyleLink w:val="Bulletlist"/>
  </w:abstractNum>
  <w:abstractNum w:abstractNumId="15"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7" w15:restartNumberingAfterBreak="0">
    <w:nsid w:val="1B26429D"/>
    <w:multiLevelType w:val="multilevel"/>
    <w:tmpl w:val="3E5E177A"/>
    <w:name w:val="NTG Table Bullet List33222222222"/>
    <w:numStyleLink w:val="Tablenumberlist"/>
  </w:abstractNum>
  <w:abstractNum w:abstractNumId="18"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B86276C"/>
    <w:multiLevelType w:val="multilevel"/>
    <w:tmpl w:val="3928FD02"/>
    <w:name w:val="NTG Table Bullet List32223"/>
    <w:numStyleLink w:val="Bulletlist"/>
  </w:abstractNum>
  <w:abstractNum w:abstractNumId="20" w15:restartNumberingAfterBreak="0">
    <w:nsid w:val="1D0744AE"/>
    <w:multiLevelType w:val="multilevel"/>
    <w:tmpl w:val="3E5E177A"/>
    <w:name w:val="NTG Table Bullet List3222322"/>
    <w:numStyleLink w:val="Tablenumberlist"/>
  </w:abstractNum>
  <w:abstractNum w:abstractNumId="21"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3" w15:restartNumberingAfterBreak="0">
    <w:nsid w:val="272E3F76"/>
    <w:multiLevelType w:val="multilevel"/>
    <w:tmpl w:val="3E5E177A"/>
    <w:name w:val="NTG Table Bullet List3322"/>
    <w:numStyleLink w:val="Tablenumberlist"/>
  </w:abstractNum>
  <w:abstractNum w:abstractNumId="24" w15:restartNumberingAfterBreak="0">
    <w:nsid w:val="27CE4608"/>
    <w:multiLevelType w:val="multilevel"/>
    <w:tmpl w:val="3E5E177A"/>
    <w:name w:val="NTG Table Bullet List33222"/>
    <w:numStyleLink w:val="Tablenumberlist"/>
  </w:abstractNum>
  <w:abstractNum w:abstractNumId="25" w15:restartNumberingAfterBreak="0">
    <w:nsid w:val="27D83E4D"/>
    <w:multiLevelType w:val="multilevel"/>
    <w:tmpl w:val="3928FD02"/>
    <w:numStyleLink w:val="Bulletlist"/>
  </w:abstractNum>
  <w:abstractNum w:abstractNumId="26"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A1520E7"/>
    <w:multiLevelType w:val="multilevel"/>
    <w:tmpl w:val="4E6AC8F6"/>
    <w:numStyleLink w:val="Numberlist"/>
  </w:abstractNum>
  <w:abstractNum w:abstractNumId="2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9"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E693641"/>
    <w:multiLevelType w:val="multilevel"/>
    <w:tmpl w:val="3E5E177A"/>
    <w:name w:val="NTG Table Bullet List33"/>
    <w:numStyleLink w:val="Tablenumberlist"/>
  </w:abstractNum>
  <w:abstractNum w:abstractNumId="31" w15:restartNumberingAfterBreak="0">
    <w:nsid w:val="2EF077BC"/>
    <w:multiLevelType w:val="multilevel"/>
    <w:tmpl w:val="0C78A7AC"/>
    <w:name w:val="NTG Table Bullet List33222222222222222222"/>
    <w:numStyleLink w:val="Tablebulletlist"/>
  </w:abstractNum>
  <w:abstractNum w:abstractNumId="32"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3" w15:restartNumberingAfterBreak="0">
    <w:nsid w:val="32DF44DA"/>
    <w:multiLevelType w:val="multilevel"/>
    <w:tmpl w:val="3E5E177A"/>
    <w:name w:val="NTG Table Bullet List3222323"/>
    <w:numStyleLink w:val="Tablenumberlist"/>
  </w:abstractNum>
  <w:abstractNum w:abstractNumId="3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5"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7"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8" w15:restartNumberingAfterBreak="0">
    <w:nsid w:val="3BE61945"/>
    <w:multiLevelType w:val="multilevel"/>
    <w:tmpl w:val="3928FD02"/>
    <w:name w:val="NTG Table Bullet List332222222222222222"/>
    <w:numStyleLink w:val="Bulletlist"/>
  </w:abstractNum>
  <w:abstractNum w:abstractNumId="39" w15:restartNumberingAfterBreak="0">
    <w:nsid w:val="3D396D1E"/>
    <w:multiLevelType w:val="multilevel"/>
    <w:tmpl w:val="F650FFFC"/>
    <w:lvl w:ilvl="0">
      <w:start w:val="1"/>
      <w:numFmt w:val="decimal"/>
      <w:lvlText w:val="%1."/>
      <w:lvlJc w:val="left"/>
      <w:pPr>
        <w:ind w:left="720" w:hanging="360"/>
      </w:pPr>
      <w:rPr>
        <w:rFonts w:ascii="Lato" w:hAnsi="La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1617371"/>
    <w:multiLevelType w:val="multilevel"/>
    <w:tmpl w:val="F650FFFC"/>
    <w:lvl w:ilvl="0">
      <w:start w:val="1"/>
      <w:numFmt w:val="decimal"/>
      <w:lvlText w:val="%1."/>
      <w:lvlJc w:val="left"/>
      <w:pPr>
        <w:ind w:left="720" w:hanging="360"/>
      </w:pPr>
      <w:rPr>
        <w:rFonts w:ascii="Lato" w:hAnsi="La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4"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9FD3A20"/>
    <w:multiLevelType w:val="multilevel"/>
    <w:tmpl w:val="3E5E177A"/>
    <w:name w:val="NTG Table Bullet List3322222222222"/>
    <w:numStyleLink w:val="Tablenumberlist"/>
  </w:abstractNum>
  <w:abstractNum w:abstractNumId="4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8"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9"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3842BC6"/>
    <w:multiLevelType w:val="multilevel"/>
    <w:tmpl w:val="0C78A7AC"/>
    <w:numStyleLink w:val="Tablebulletlist"/>
  </w:abstractNum>
  <w:abstractNum w:abstractNumId="5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3"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6DA2CAE"/>
    <w:multiLevelType w:val="multilevel"/>
    <w:tmpl w:val="3E5E177A"/>
    <w:name w:val="NTG Table Bullet List332222222222222"/>
    <w:numStyleLink w:val="Tablenumberlist"/>
  </w:abstractNum>
  <w:abstractNum w:abstractNumId="55" w15:restartNumberingAfterBreak="0">
    <w:nsid w:val="583359D9"/>
    <w:multiLevelType w:val="multilevel"/>
    <w:tmpl w:val="3E5E177A"/>
    <w:name w:val="NTG Table Bullet List332222222"/>
    <w:numStyleLink w:val="Tablenumberlist"/>
  </w:abstractNum>
  <w:abstractNum w:abstractNumId="56"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7"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8E21323"/>
    <w:multiLevelType w:val="multilevel"/>
    <w:tmpl w:val="4E6AC8F6"/>
    <w:numStyleLink w:val="Numberlist"/>
  </w:abstractNum>
  <w:abstractNum w:abstractNumId="59" w15:restartNumberingAfterBreak="0">
    <w:nsid w:val="5B9A5FFE"/>
    <w:multiLevelType w:val="multilevel"/>
    <w:tmpl w:val="0C78A7AC"/>
    <w:name w:val="NTG Table Bullet List33222222222222"/>
    <w:numStyleLink w:val="Tablebulletlist"/>
  </w:abstractNum>
  <w:abstractNum w:abstractNumId="60" w15:restartNumberingAfterBreak="0">
    <w:nsid w:val="5D444259"/>
    <w:multiLevelType w:val="multilevel"/>
    <w:tmpl w:val="0C78A7AC"/>
    <w:name w:val="NTG Table Bullet List332222"/>
    <w:numStyleLink w:val="Tablebulletlist"/>
  </w:abstractNum>
  <w:abstractNum w:abstractNumId="61"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2"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4"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6"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9262556"/>
    <w:multiLevelType w:val="multilevel"/>
    <w:tmpl w:val="3E5E177A"/>
    <w:name w:val="NTG Table Bullet List3322222222222222"/>
    <w:numStyleLink w:val="Tablenumberlist"/>
  </w:abstractNum>
  <w:abstractNum w:abstractNumId="68"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7453664D"/>
    <w:multiLevelType w:val="multilevel"/>
    <w:tmpl w:val="0C78A7AC"/>
    <w:name w:val="NTG Table Bullet List3322222222222222222"/>
    <w:numStyleLink w:val="Tablebulletlist"/>
  </w:abstractNum>
  <w:abstractNum w:abstractNumId="71" w15:restartNumberingAfterBreak="0">
    <w:nsid w:val="76141D1E"/>
    <w:multiLevelType w:val="multilevel"/>
    <w:tmpl w:val="0C78A7AC"/>
    <w:name w:val="NTG Table Bullet List332222222222"/>
    <w:numStyleLink w:val="Tablebulletlist"/>
  </w:abstractNum>
  <w:abstractNum w:abstractNumId="72" w15:restartNumberingAfterBreak="0">
    <w:nsid w:val="765A32D4"/>
    <w:multiLevelType w:val="multilevel"/>
    <w:tmpl w:val="4E6AC8F6"/>
    <w:numStyleLink w:val="Numberlist"/>
  </w:abstractNum>
  <w:abstractNum w:abstractNumId="73"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5"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4620797">
    <w:abstractNumId w:val="34"/>
  </w:num>
  <w:num w:numId="2" w16cid:durableId="298344336">
    <w:abstractNumId w:val="22"/>
  </w:num>
  <w:num w:numId="3" w16cid:durableId="432751859">
    <w:abstractNumId w:val="74"/>
  </w:num>
  <w:num w:numId="4" w16cid:durableId="660087949">
    <w:abstractNumId w:val="46"/>
  </w:num>
  <w:num w:numId="5" w16cid:durableId="293217313">
    <w:abstractNumId w:val="28"/>
  </w:num>
  <w:num w:numId="6" w16cid:durableId="776290608">
    <w:abstractNumId w:val="16"/>
  </w:num>
  <w:num w:numId="7" w16cid:durableId="794257236">
    <w:abstractNumId w:val="51"/>
  </w:num>
  <w:num w:numId="8" w16cid:durableId="1772166039">
    <w:abstractNumId w:val="25"/>
  </w:num>
  <w:num w:numId="9" w16cid:durableId="1509178408">
    <w:abstractNumId w:val="58"/>
  </w:num>
  <w:num w:numId="10" w16cid:durableId="216749347">
    <w:abstractNumId w:val="21"/>
  </w:num>
  <w:num w:numId="11" w16cid:durableId="1890801364">
    <w:abstractNumId w:val="64"/>
  </w:num>
  <w:num w:numId="12" w16cid:durableId="135490434">
    <w:abstractNumId w:val="18"/>
  </w:num>
  <w:num w:numId="13" w16cid:durableId="299460601">
    <w:abstractNumId w:val="1"/>
  </w:num>
  <w:num w:numId="14" w16cid:durableId="1627159555">
    <w:abstractNumId w:val="62"/>
  </w:num>
  <w:num w:numId="15" w16cid:durableId="1987779308">
    <w:abstractNumId w:val="27"/>
  </w:num>
  <w:num w:numId="16" w16cid:durableId="1772970953">
    <w:abstractNumId w:val="63"/>
  </w:num>
  <w:num w:numId="17" w16cid:durableId="602688351">
    <w:abstractNumId w:val="72"/>
  </w:num>
  <w:num w:numId="18" w16cid:durableId="1896045576">
    <w:abstractNumId w:val="57"/>
  </w:num>
  <w:num w:numId="19" w16cid:durableId="1938445584">
    <w:abstractNumId w:val="49"/>
  </w:num>
  <w:num w:numId="20" w16cid:durableId="1597053618">
    <w:abstractNumId w:val="53"/>
  </w:num>
  <w:num w:numId="21" w16cid:durableId="824667326">
    <w:abstractNumId w:val="40"/>
  </w:num>
  <w:num w:numId="22" w16cid:durableId="1487865391">
    <w:abstractNumId w:val="56"/>
  </w:num>
  <w:num w:numId="23" w16cid:durableId="206139576">
    <w:abstractNumId w:val="48"/>
  </w:num>
  <w:num w:numId="24" w16cid:durableId="1545289305">
    <w:abstractNumId w:val="43"/>
  </w:num>
  <w:num w:numId="25" w16cid:durableId="834154205">
    <w:abstractNumId w:val="37"/>
  </w:num>
  <w:num w:numId="26" w16cid:durableId="1024400266">
    <w:abstractNumId w:val="10"/>
  </w:num>
  <w:num w:numId="27" w16cid:durableId="1891109583">
    <w:abstractNumId w:val="73"/>
  </w:num>
  <w:num w:numId="28" w16cid:durableId="1995642207">
    <w:abstractNumId w:val="36"/>
  </w:num>
  <w:num w:numId="29" w16cid:durableId="1991711361">
    <w:abstractNumId w:val="29"/>
  </w:num>
  <w:num w:numId="30" w16cid:durableId="744835380">
    <w:abstractNumId w:val="0"/>
  </w:num>
  <w:num w:numId="31" w16cid:durableId="1170099285">
    <w:abstractNumId w:val="42"/>
  </w:num>
  <w:num w:numId="32" w16cid:durableId="602810512">
    <w:abstractNumId w:val="9"/>
  </w:num>
  <w:num w:numId="33" w16cid:durableId="1993176017">
    <w:abstractNumId w:val="65"/>
  </w:num>
  <w:num w:numId="34" w16cid:durableId="961691154">
    <w:abstractNumId w:val="32"/>
  </w:num>
  <w:num w:numId="35" w16cid:durableId="2088572248">
    <w:abstractNumId w:val="50"/>
  </w:num>
  <w:num w:numId="36" w16cid:durableId="2125539644">
    <w:abstractNumId w:val="66"/>
  </w:num>
  <w:num w:numId="37" w16cid:durableId="1146820323">
    <w:abstractNumId w:val="68"/>
  </w:num>
  <w:num w:numId="38" w16cid:durableId="636958563">
    <w:abstractNumId w:val="15"/>
  </w:num>
  <w:num w:numId="39" w16cid:durableId="446509184">
    <w:abstractNumId w:val="26"/>
  </w:num>
  <w:num w:numId="40" w16cid:durableId="1664359357">
    <w:abstractNumId w:val="69"/>
  </w:num>
  <w:num w:numId="41" w16cid:durableId="1992634777">
    <w:abstractNumId w:val="2"/>
  </w:num>
  <w:num w:numId="42" w16cid:durableId="342980649">
    <w:abstractNumId w:val="61"/>
  </w:num>
  <w:num w:numId="43" w16cid:durableId="434521670">
    <w:abstractNumId w:val="11"/>
  </w:num>
  <w:num w:numId="44" w16cid:durableId="237596733">
    <w:abstractNumId w:val="35"/>
  </w:num>
  <w:num w:numId="45" w16cid:durableId="335352154">
    <w:abstractNumId w:val="44"/>
  </w:num>
  <w:num w:numId="46" w16cid:durableId="957097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74224578">
    <w:abstractNumId w:val="7"/>
  </w:num>
  <w:num w:numId="48" w16cid:durableId="892038095">
    <w:abstractNumId w:val="39"/>
  </w:num>
  <w:num w:numId="49" w16cid:durableId="1892303888">
    <w:abstractNumId w:val="12"/>
  </w:num>
  <w:num w:numId="50" w16cid:durableId="2023820455">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C04" w:allStyles="0" w:customStyles="0" w:latentStyles="1" w:stylesInUse="0" w:headingStyles="0" w:numberingStyles="0" w:tableStyles="0" w:directFormattingOnRuns="0" w:directFormattingOnParagraphs="0" w:directFormattingOnNumbering="1" w:directFormattingOnTables="1" w:clearFormatting="1" w:top3HeadingStyles="0" w:visibleStyles="1" w:alternateStyleNames="1"/>
  <w:defaultTabStop w:val="284"/>
  <w:defaultTableStyle w:val="NTGtable"/>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755"/>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72E00"/>
    <w:rsid w:val="000801B3"/>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D7E79"/>
    <w:rsid w:val="000E342B"/>
    <w:rsid w:val="000E3ED2"/>
    <w:rsid w:val="000E5DD2"/>
    <w:rsid w:val="000F2958"/>
    <w:rsid w:val="000F3850"/>
    <w:rsid w:val="000F604F"/>
    <w:rsid w:val="00104E7F"/>
    <w:rsid w:val="001119B7"/>
    <w:rsid w:val="00111B0E"/>
    <w:rsid w:val="001137EC"/>
    <w:rsid w:val="001152F5"/>
    <w:rsid w:val="00117743"/>
    <w:rsid w:val="00117F5B"/>
    <w:rsid w:val="00120E6E"/>
    <w:rsid w:val="00131ABD"/>
    <w:rsid w:val="00132658"/>
    <w:rsid w:val="00150DC0"/>
    <w:rsid w:val="0015394D"/>
    <w:rsid w:val="00156CD4"/>
    <w:rsid w:val="0016153B"/>
    <w:rsid w:val="00162207"/>
    <w:rsid w:val="00164A3E"/>
    <w:rsid w:val="00166FF6"/>
    <w:rsid w:val="00176123"/>
    <w:rsid w:val="00181620"/>
    <w:rsid w:val="00187130"/>
    <w:rsid w:val="0019014D"/>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1F7EB0"/>
    <w:rsid w:val="00203F1C"/>
    <w:rsid w:val="00206936"/>
    <w:rsid w:val="00206C6F"/>
    <w:rsid w:val="00206FBD"/>
    <w:rsid w:val="00207746"/>
    <w:rsid w:val="00216245"/>
    <w:rsid w:val="00230031"/>
    <w:rsid w:val="00235C01"/>
    <w:rsid w:val="00247343"/>
    <w:rsid w:val="00247476"/>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001"/>
    <w:rsid w:val="00307FE1"/>
    <w:rsid w:val="003164BA"/>
    <w:rsid w:val="00317B6B"/>
    <w:rsid w:val="003226BC"/>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820DD"/>
    <w:rsid w:val="00390862"/>
    <w:rsid w:val="00390CE3"/>
    <w:rsid w:val="00394876"/>
    <w:rsid w:val="00394AAF"/>
    <w:rsid w:val="00394CE5"/>
    <w:rsid w:val="003A4789"/>
    <w:rsid w:val="003A6341"/>
    <w:rsid w:val="003B67FD"/>
    <w:rsid w:val="003B6A61"/>
    <w:rsid w:val="003C2198"/>
    <w:rsid w:val="003C4941"/>
    <w:rsid w:val="003C58CD"/>
    <w:rsid w:val="003D0F63"/>
    <w:rsid w:val="003D42C0"/>
    <w:rsid w:val="003D4A8F"/>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082"/>
    <w:rsid w:val="00443B6E"/>
    <w:rsid w:val="00450636"/>
    <w:rsid w:val="00452635"/>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1B08"/>
    <w:rsid w:val="00494BE5"/>
    <w:rsid w:val="00496611"/>
    <w:rsid w:val="004A0EBA"/>
    <w:rsid w:val="004A2538"/>
    <w:rsid w:val="004A331E"/>
    <w:rsid w:val="004B0C15"/>
    <w:rsid w:val="004B35EA"/>
    <w:rsid w:val="004B69E4"/>
    <w:rsid w:val="004C3B49"/>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7782"/>
    <w:rsid w:val="00512A04"/>
    <w:rsid w:val="00520499"/>
    <w:rsid w:val="00520ACF"/>
    <w:rsid w:val="005249F5"/>
    <w:rsid w:val="005260F7"/>
    <w:rsid w:val="00543BD1"/>
    <w:rsid w:val="00556113"/>
    <w:rsid w:val="00564C12"/>
    <w:rsid w:val="005654B8"/>
    <w:rsid w:val="00566755"/>
    <w:rsid w:val="00570D94"/>
    <w:rsid w:val="00570FA2"/>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6602"/>
    <w:rsid w:val="005F77C7"/>
    <w:rsid w:val="006021D8"/>
    <w:rsid w:val="00614CEC"/>
    <w:rsid w:val="00620675"/>
    <w:rsid w:val="00622303"/>
    <w:rsid w:val="00622910"/>
    <w:rsid w:val="006254B6"/>
    <w:rsid w:val="00627FC8"/>
    <w:rsid w:val="00641915"/>
    <w:rsid w:val="006433C3"/>
    <w:rsid w:val="00650F5B"/>
    <w:rsid w:val="006670D7"/>
    <w:rsid w:val="0066711A"/>
    <w:rsid w:val="00667AB3"/>
    <w:rsid w:val="006719EA"/>
    <w:rsid w:val="00671F13"/>
    <w:rsid w:val="006728AA"/>
    <w:rsid w:val="0067400A"/>
    <w:rsid w:val="006847AD"/>
    <w:rsid w:val="006863DB"/>
    <w:rsid w:val="0069114B"/>
    <w:rsid w:val="006944C1"/>
    <w:rsid w:val="006A756A"/>
    <w:rsid w:val="006C0EC2"/>
    <w:rsid w:val="006D66F7"/>
    <w:rsid w:val="006E0EC0"/>
    <w:rsid w:val="00705C9D"/>
    <w:rsid w:val="00705F13"/>
    <w:rsid w:val="0070624C"/>
    <w:rsid w:val="00707EF4"/>
    <w:rsid w:val="00714F1D"/>
    <w:rsid w:val="00715225"/>
    <w:rsid w:val="0071700C"/>
    <w:rsid w:val="00720662"/>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70CF"/>
    <w:rsid w:val="007E74A4"/>
    <w:rsid w:val="007F1B6F"/>
    <w:rsid w:val="007F263F"/>
    <w:rsid w:val="008015A8"/>
    <w:rsid w:val="0080766E"/>
    <w:rsid w:val="00811169"/>
    <w:rsid w:val="00815297"/>
    <w:rsid w:val="008170DB"/>
    <w:rsid w:val="00817BA1"/>
    <w:rsid w:val="00823022"/>
    <w:rsid w:val="0082598B"/>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2770"/>
    <w:rsid w:val="0089368E"/>
    <w:rsid w:val="00893C96"/>
    <w:rsid w:val="0089500A"/>
    <w:rsid w:val="00897C94"/>
    <w:rsid w:val="008A4B30"/>
    <w:rsid w:val="008A6010"/>
    <w:rsid w:val="008A7C12"/>
    <w:rsid w:val="008B03CE"/>
    <w:rsid w:val="008B529E"/>
    <w:rsid w:val="008C17FB"/>
    <w:rsid w:val="008C70BB"/>
    <w:rsid w:val="008D1B00"/>
    <w:rsid w:val="008D57B8"/>
    <w:rsid w:val="008E03FC"/>
    <w:rsid w:val="008E510B"/>
    <w:rsid w:val="00902B13"/>
    <w:rsid w:val="00911941"/>
    <w:rsid w:val="0092024D"/>
    <w:rsid w:val="00921FFE"/>
    <w:rsid w:val="00925146"/>
    <w:rsid w:val="009254DC"/>
    <w:rsid w:val="00925F0F"/>
    <w:rsid w:val="00932F6B"/>
    <w:rsid w:val="009444F0"/>
    <w:rsid w:val="009468BC"/>
    <w:rsid w:val="00947FAE"/>
    <w:rsid w:val="009616DF"/>
    <w:rsid w:val="0096542F"/>
    <w:rsid w:val="00967FA7"/>
    <w:rsid w:val="00971645"/>
    <w:rsid w:val="00977919"/>
    <w:rsid w:val="00983000"/>
    <w:rsid w:val="009870FA"/>
    <w:rsid w:val="009921C3"/>
    <w:rsid w:val="00993715"/>
    <w:rsid w:val="0099551D"/>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67EE"/>
    <w:rsid w:val="00A671E4"/>
    <w:rsid w:val="00A70DD8"/>
    <w:rsid w:val="00A76790"/>
    <w:rsid w:val="00A85D0C"/>
    <w:rsid w:val="00A925EC"/>
    <w:rsid w:val="00A929AA"/>
    <w:rsid w:val="00A92B6B"/>
    <w:rsid w:val="00AA541E"/>
    <w:rsid w:val="00AB03C8"/>
    <w:rsid w:val="00AD0DA4"/>
    <w:rsid w:val="00AD4169"/>
    <w:rsid w:val="00AE25C6"/>
    <w:rsid w:val="00AE306C"/>
    <w:rsid w:val="00AF28C1"/>
    <w:rsid w:val="00AF7239"/>
    <w:rsid w:val="00B02EF1"/>
    <w:rsid w:val="00B07A1E"/>
    <w:rsid w:val="00B07C97"/>
    <w:rsid w:val="00B11C67"/>
    <w:rsid w:val="00B15754"/>
    <w:rsid w:val="00B16002"/>
    <w:rsid w:val="00B2046E"/>
    <w:rsid w:val="00B20E8B"/>
    <w:rsid w:val="00B257E1"/>
    <w:rsid w:val="00B2599A"/>
    <w:rsid w:val="00B27AC4"/>
    <w:rsid w:val="00B343CC"/>
    <w:rsid w:val="00B5084A"/>
    <w:rsid w:val="00B5393C"/>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51B"/>
    <w:rsid w:val="00BE37CA"/>
    <w:rsid w:val="00BE6144"/>
    <w:rsid w:val="00BE635A"/>
    <w:rsid w:val="00BF17E9"/>
    <w:rsid w:val="00BF2ABB"/>
    <w:rsid w:val="00BF5099"/>
    <w:rsid w:val="00C07BB1"/>
    <w:rsid w:val="00C10B5E"/>
    <w:rsid w:val="00C10F10"/>
    <w:rsid w:val="00C15D4D"/>
    <w:rsid w:val="00C175DC"/>
    <w:rsid w:val="00C30171"/>
    <w:rsid w:val="00C309D8"/>
    <w:rsid w:val="00C43519"/>
    <w:rsid w:val="00C45263"/>
    <w:rsid w:val="00C51537"/>
    <w:rsid w:val="00C52BC3"/>
    <w:rsid w:val="00C61AFA"/>
    <w:rsid w:val="00C61D64"/>
    <w:rsid w:val="00C62099"/>
    <w:rsid w:val="00C62A34"/>
    <w:rsid w:val="00C64EA3"/>
    <w:rsid w:val="00C6788D"/>
    <w:rsid w:val="00C72867"/>
    <w:rsid w:val="00C75E81"/>
    <w:rsid w:val="00C83BB6"/>
    <w:rsid w:val="00C86609"/>
    <w:rsid w:val="00C92B4C"/>
    <w:rsid w:val="00C954F6"/>
    <w:rsid w:val="00CA36A0"/>
    <w:rsid w:val="00CA6BC5"/>
    <w:rsid w:val="00CC571B"/>
    <w:rsid w:val="00CC61CD"/>
    <w:rsid w:val="00CC6C02"/>
    <w:rsid w:val="00CC737B"/>
    <w:rsid w:val="00CD431F"/>
    <w:rsid w:val="00CD5011"/>
    <w:rsid w:val="00CE640F"/>
    <w:rsid w:val="00CE76BC"/>
    <w:rsid w:val="00CF540E"/>
    <w:rsid w:val="00CF5EB2"/>
    <w:rsid w:val="00CF7E89"/>
    <w:rsid w:val="00D02F07"/>
    <w:rsid w:val="00D15D88"/>
    <w:rsid w:val="00D16622"/>
    <w:rsid w:val="00D27D49"/>
    <w:rsid w:val="00D27EBE"/>
    <w:rsid w:val="00D330A5"/>
    <w:rsid w:val="00D36A49"/>
    <w:rsid w:val="00D47DC7"/>
    <w:rsid w:val="00D517C6"/>
    <w:rsid w:val="00D52DC0"/>
    <w:rsid w:val="00D71D84"/>
    <w:rsid w:val="00D72464"/>
    <w:rsid w:val="00D72A57"/>
    <w:rsid w:val="00D768EB"/>
    <w:rsid w:val="00D81329"/>
    <w:rsid w:val="00D81E17"/>
    <w:rsid w:val="00D82D1E"/>
    <w:rsid w:val="00D832D9"/>
    <w:rsid w:val="00D90F00"/>
    <w:rsid w:val="00D96804"/>
    <w:rsid w:val="00D975C0"/>
    <w:rsid w:val="00DA5285"/>
    <w:rsid w:val="00DB191D"/>
    <w:rsid w:val="00DB205A"/>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4C89"/>
    <w:rsid w:val="00E457A6"/>
    <w:rsid w:val="00E54F9E"/>
    <w:rsid w:val="00E61BA2"/>
    <w:rsid w:val="00E63864"/>
    <w:rsid w:val="00E6403F"/>
    <w:rsid w:val="00E75451"/>
    <w:rsid w:val="00E76AD6"/>
    <w:rsid w:val="00E770C4"/>
    <w:rsid w:val="00E84C5A"/>
    <w:rsid w:val="00E861DB"/>
    <w:rsid w:val="00E87B4B"/>
    <w:rsid w:val="00E908F1"/>
    <w:rsid w:val="00E93406"/>
    <w:rsid w:val="00E956C5"/>
    <w:rsid w:val="00E95C39"/>
    <w:rsid w:val="00EA2C39"/>
    <w:rsid w:val="00EB0A3C"/>
    <w:rsid w:val="00EB0A96"/>
    <w:rsid w:val="00EB54E7"/>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20B96"/>
    <w:rsid w:val="00F30AE1"/>
    <w:rsid w:val="00F37032"/>
    <w:rsid w:val="00F53E6A"/>
    <w:rsid w:val="00F5696E"/>
    <w:rsid w:val="00F60EFF"/>
    <w:rsid w:val="00F67D2D"/>
    <w:rsid w:val="00F70358"/>
    <w:rsid w:val="00F77F27"/>
    <w:rsid w:val="00F858F2"/>
    <w:rsid w:val="00F860CC"/>
    <w:rsid w:val="00F94398"/>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82655"/>
  <w15:docId w15:val="{C003092E-13E1-4A6A-9C08-8CB52D52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245"/>
    <w:rPr>
      <w:rFonts w:ascii="Lato" w:hAnsi="Lato"/>
    </w:rPr>
  </w:style>
  <w:style w:type="paragraph" w:styleId="Heading1">
    <w:name w:val="heading 1"/>
    <w:basedOn w:val="Normal"/>
    <w:next w:val="Normal"/>
    <w:link w:val="Heading1Char"/>
    <w:uiPriority w:val="2"/>
    <w:qFormat/>
    <w:rsid w:val="00496611"/>
    <w:pPr>
      <w:keepNext/>
      <w:keepLines/>
      <w:spacing w:before="240"/>
      <w:outlineLvl w:val="0"/>
    </w:pPr>
    <w:rPr>
      <w:rFonts w:ascii="Lato Semibold" w:eastAsia="Times New Roman" w:hAnsi="Lato Semibold"/>
      <w:color w:val="F4551A" w:themeColor="text2"/>
      <w:kern w:val="32"/>
      <w:sz w:val="36"/>
      <w:szCs w:val="32"/>
    </w:rPr>
  </w:style>
  <w:style w:type="paragraph" w:styleId="Heading2">
    <w:name w:val="heading 2"/>
    <w:basedOn w:val="Normal"/>
    <w:next w:val="Normal"/>
    <w:link w:val="Heading2Char"/>
    <w:uiPriority w:val="2"/>
    <w:qFormat/>
    <w:rsid w:val="00496611"/>
    <w:pPr>
      <w:keepNext/>
      <w:keepLines/>
      <w:spacing w:before="240"/>
      <w:outlineLvl w:val="1"/>
    </w:pPr>
    <w:rPr>
      <w:rFonts w:ascii="Lato Semibold" w:eastAsia="Times New Roman" w:hAnsi="Lato Semibold"/>
      <w:color w:val="008387" w:themeColor="accent3"/>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343741"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343741"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343741"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343741"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496611"/>
    <w:rPr>
      <w:rFonts w:ascii="Lato Semibold" w:eastAsia="Times New Roman" w:hAnsi="Lato Semibold"/>
      <w:color w:val="F4551A" w:themeColor="text2"/>
      <w:kern w:val="32"/>
      <w:sz w:val="36"/>
      <w:szCs w:val="32"/>
    </w:rPr>
  </w:style>
  <w:style w:type="character" w:customStyle="1" w:styleId="Heading2Char">
    <w:name w:val="Heading 2 Char"/>
    <w:basedOn w:val="DefaultParagraphFont"/>
    <w:link w:val="Heading2"/>
    <w:uiPriority w:val="2"/>
    <w:rsid w:val="00496611"/>
    <w:rPr>
      <w:rFonts w:ascii="Lato Semibold" w:eastAsia="Times New Roman" w:hAnsi="Lato Semibold"/>
      <w:color w:val="008387" w:themeColor="accent3"/>
      <w:sz w:val="32"/>
      <w:szCs w:val="28"/>
    </w:rPr>
  </w:style>
  <w:style w:type="paragraph" w:styleId="Title">
    <w:name w:val="Title"/>
    <w:basedOn w:val="Normal"/>
    <w:next w:val="Normal"/>
    <w:link w:val="TitleChar"/>
    <w:qFormat/>
    <w:rsid w:val="00496611"/>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496611"/>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343741"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496611"/>
    <w:pPr>
      <w:numPr>
        <w:ilvl w:val="1"/>
      </w:numPr>
      <w:spacing w:after="160"/>
    </w:pPr>
    <w:rPr>
      <w:rFonts w:asciiTheme="majorHAnsi" w:eastAsia="Times New Roman" w:hAnsiTheme="majorHAnsi"/>
      <w:color w:val="F4551A" w:themeColor="tex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343741"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343741"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343741"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491B08"/>
    <w:pPr>
      <w:spacing w:before="40" w:after="40"/>
    </w:pPr>
    <w:rPr>
      <w:rFonts w:ascii="Lato" w:hAnsi="Lato"/>
      <w:szCs w:val="20"/>
      <w:lang w:eastAsia="en-AU"/>
    </w:rPr>
    <w:tblPr>
      <w:tblStyleRowBandSize w:val="1"/>
      <w:tblStyleColBandSize w:val="1"/>
      <w:tblBorders>
        <w:top w:val="single" w:sz="4" w:space="0" w:color="343741" w:themeColor="text1"/>
        <w:left w:val="single" w:sz="4" w:space="0" w:color="343741" w:themeColor="text1"/>
        <w:bottom w:val="single" w:sz="4" w:space="0" w:color="343741" w:themeColor="text1"/>
        <w:right w:val="single" w:sz="4" w:space="0" w:color="343741" w:themeColor="text1"/>
        <w:insideH w:val="none" w:sz="0" w:space="0" w:color="auto"/>
        <w:insideV w:val="single" w:sz="4" w:space="0" w:color="343741"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Lato" w:hAnsi="Lato"/>
        <w:b/>
        <w:sz w:val="22"/>
      </w:rPr>
      <w:tblPr/>
      <w:tcPr>
        <w:shd w:val="clear" w:color="auto" w:fill="343741" w:themeFill="text1"/>
      </w:tcPr>
    </w:tblStylePr>
    <w:tblStylePr w:type="lastRow">
      <w:rPr>
        <w:rFonts w:ascii="Lato" w:hAnsi="Lato"/>
        <w:b/>
        <w:color w:val="auto"/>
        <w:sz w:val="22"/>
      </w:rPr>
      <w:tblPr/>
      <w:tcPr>
        <w:tcBorders>
          <w:top w:val="single" w:sz="4" w:space="0" w:color="343741" w:themeColor="text1"/>
          <w:left w:val="single" w:sz="4" w:space="0" w:color="343741" w:themeColor="text1"/>
          <w:bottom w:val="single" w:sz="4" w:space="0" w:color="343741" w:themeColor="text1"/>
          <w:right w:val="single" w:sz="4" w:space="0" w:color="343741" w:themeColor="text1"/>
        </w:tcBorders>
        <w:shd w:val="clear" w:color="auto" w:fill="auto"/>
      </w:tcPr>
    </w:tblStylePr>
    <w:tblStylePr w:type="firstCol">
      <w:rPr>
        <w:rFonts w:ascii="Lato" w:hAnsi="Lato"/>
        <w:sz w:val="22"/>
      </w:rPr>
    </w:tblStylePr>
    <w:tblStylePr w:type="lastCol">
      <w:rPr>
        <w:rFonts w:ascii="Lato" w:hAnsi="Lato"/>
        <w:sz w:val="22"/>
      </w:rPr>
    </w:tblStylePr>
    <w:tblStylePr w:type="band1Vert">
      <w:rPr>
        <w:rFonts w:ascii="Lato" w:hAnsi="Lato"/>
        <w:sz w:val="22"/>
      </w:rPr>
    </w:tblStylePr>
    <w:tblStylePr w:type="band2Vert">
      <w:rPr>
        <w:rFonts w:ascii="Lato" w:hAnsi="Lato"/>
        <w:color w:val="au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rFonts w:ascii="Lato" w:hAnsi="Lato"/>
        <w:sz w:val="22"/>
      </w:rPr>
    </w:tblStylePr>
    <w:tblStylePr w:type="nwCell">
      <w:rPr>
        <w:rFonts w:ascii="Lato" w:hAnsi="Lato"/>
        <w:sz w:val="22"/>
      </w:rPr>
    </w:tblStylePr>
    <w:tblStylePr w:type="seCell">
      <w:rPr>
        <w:rFonts w:ascii="Lato" w:hAnsi="Lato"/>
        <w:sz w:val="22"/>
      </w:rPr>
    </w:tblStylePr>
    <w:tblStylePr w:type="swCell">
      <w:rPr>
        <w:rFonts w:ascii="Lato" w:hAnsi="Lato"/>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styleId="FootnoteText">
    <w:name w:val="footnote text"/>
    <w:basedOn w:val="Normal"/>
    <w:link w:val="FootnoteTextChar"/>
    <w:uiPriority w:val="99"/>
    <w:semiHidden/>
    <w:unhideWhenUsed/>
    <w:rsid w:val="00491B08"/>
    <w:pPr>
      <w:spacing w:after="0"/>
    </w:pPr>
    <w:rPr>
      <w:sz w:val="20"/>
      <w:szCs w:val="20"/>
    </w:rPr>
  </w:style>
  <w:style w:type="character" w:customStyle="1" w:styleId="FootnoteTextChar">
    <w:name w:val="Footnote Text Char"/>
    <w:basedOn w:val="DefaultParagraphFont"/>
    <w:link w:val="FootnoteText"/>
    <w:uiPriority w:val="99"/>
    <w:semiHidden/>
    <w:rsid w:val="00491B08"/>
    <w:rPr>
      <w:rFonts w:ascii="Lato" w:hAnsi="Lato"/>
      <w:sz w:val="20"/>
      <w:szCs w:val="20"/>
    </w:rPr>
  </w:style>
  <w:style w:type="character" w:styleId="FootnoteReference">
    <w:name w:val="footnote reference"/>
    <w:basedOn w:val="DefaultParagraphFont"/>
    <w:uiPriority w:val="99"/>
    <w:semiHidden/>
    <w:unhideWhenUsed/>
    <w:rsid w:val="00491B08"/>
    <w:rPr>
      <w:vertAlign w:val="superscript"/>
    </w:rPr>
  </w:style>
  <w:style w:type="paragraph" w:styleId="EndnoteText">
    <w:name w:val="endnote text"/>
    <w:basedOn w:val="Normal"/>
    <w:link w:val="EndnoteTextChar"/>
    <w:uiPriority w:val="99"/>
    <w:semiHidden/>
    <w:unhideWhenUsed/>
    <w:rsid w:val="00491B08"/>
    <w:pPr>
      <w:spacing w:after="0"/>
    </w:pPr>
    <w:rPr>
      <w:sz w:val="20"/>
      <w:szCs w:val="20"/>
    </w:rPr>
  </w:style>
  <w:style w:type="character" w:customStyle="1" w:styleId="EndnoteTextChar">
    <w:name w:val="Endnote Text Char"/>
    <w:basedOn w:val="DefaultParagraphFont"/>
    <w:link w:val="EndnoteText"/>
    <w:uiPriority w:val="99"/>
    <w:semiHidden/>
    <w:rsid w:val="00491B08"/>
    <w:rPr>
      <w:rFonts w:ascii="Lato" w:hAnsi="Lato"/>
      <w:sz w:val="20"/>
      <w:szCs w:val="20"/>
    </w:rPr>
  </w:style>
  <w:style w:type="character" w:styleId="EndnoteReference">
    <w:name w:val="endnote reference"/>
    <w:basedOn w:val="DefaultParagraphFont"/>
    <w:uiPriority w:val="99"/>
    <w:semiHidden/>
    <w:unhideWhenUsed/>
    <w:rsid w:val="00491B08"/>
    <w:rPr>
      <w:vertAlign w:val="superscript"/>
    </w:rPr>
  </w:style>
  <w:style w:type="table" w:styleId="GridTable4-Accent1">
    <w:name w:val="Grid Table 4 Accent 1"/>
    <w:basedOn w:val="TableNormal"/>
    <w:uiPriority w:val="49"/>
    <w:rsid w:val="00F70358"/>
    <w:pPr>
      <w:spacing w:after="0"/>
    </w:pPr>
    <w:tblPr>
      <w:tblStyleRowBandSize w:val="1"/>
      <w:tblStyleColBandSize w:val="1"/>
      <w:tblBorders>
        <w:top w:val="single" w:sz="4" w:space="0" w:color="F89875" w:themeColor="accent1" w:themeTint="99"/>
        <w:left w:val="single" w:sz="4" w:space="0" w:color="F89875" w:themeColor="accent1" w:themeTint="99"/>
        <w:bottom w:val="single" w:sz="4" w:space="0" w:color="F89875" w:themeColor="accent1" w:themeTint="99"/>
        <w:right w:val="single" w:sz="4" w:space="0" w:color="F89875" w:themeColor="accent1" w:themeTint="99"/>
        <w:insideH w:val="single" w:sz="4" w:space="0" w:color="F89875" w:themeColor="accent1" w:themeTint="99"/>
        <w:insideV w:val="single" w:sz="4" w:space="0" w:color="F89875" w:themeColor="accent1" w:themeTint="99"/>
      </w:tblBorders>
    </w:tblPr>
    <w:tblStylePr w:type="firstRow">
      <w:rPr>
        <w:b/>
        <w:bCs/>
        <w:color w:val="FFFFFF" w:themeColor="background1"/>
      </w:rPr>
      <w:tblPr/>
      <w:tcPr>
        <w:tcBorders>
          <w:top w:val="single" w:sz="4" w:space="0" w:color="F4551A" w:themeColor="accent1"/>
          <w:left w:val="single" w:sz="4" w:space="0" w:color="F4551A" w:themeColor="accent1"/>
          <w:bottom w:val="single" w:sz="4" w:space="0" w:color="F4551A" w:themeColor="accent1"/>
          <w:right w:val="single" w:sz="4" w:space="0" w:color="F4551A" w:themeColor="accent1"/>
          <w:insideH w:val="nil"/>
          <w:insideV w:val="nil"/>
        </w:tcBorders>
        <w:shd w:val="clear" w:color="auto" w:fill="F4551A" w:themeFill="accent1"/>
      </w:tcPr>
    </w:tblStylePr>
    <w:tblStylePr w:type="lastRow">
      <w:rPr>
        <w:b/>
        <w:bCs/>
      </w:rPr>
      <w:tblPr/>
      <w:tcPr>
        <w:tcBorders>
          <w:top w:val="double" w:sz="4" w:space="0" w:color="F4551A" w:themeColor="accent1"/>
        </w:tcBorders>
      </w:tcPr>
    </w:tblStylePr>
    <w:tblStylePr w:type="firstCol">
      <w:rPr>
        <w:b/>
        <w:bCs/>
      </w:rPr>
    </w:tblStylePr>
    <w:tblStylePr w:type="lastCol">
      <w:rPr>
        <w:b/>
        <w:bCs/>
      </w:rPr>
    </w:tblStylePr>
    <w:tblStylePr w:type="band1Vert">
      <w:tblPr/>
      <w:tcPr>
        <w:shd w:val="clear" w:color="auto" w:fill="FCDCD1" w:themeFill="accent1" w:themeFillTint="33"/>
      </w:tcPr>
    </w:tblStylePr>
    <w:tblStylePr w:type="band1Horz">
      <w:tblPr/>
      <w:tcPr>
        <w:shd w:val="clear" w:color="auto" w:fill="FCDCD1" w:themeFill="accent1" w:themeFillTint="33"/>
      </w:tcPr>
    </w:tblStylePr>
  </w:style>
  <w:style w:type="table" w:styleId="GridTable4">
    <w:name w:val="Grid Table 4"/>
    <w:basedOn w:val="TableNormal"/>
    <w:uiPriority w:val="49"/>
    <w:rsid w:val="00F70358"/>
    <w:pPr>
      <w:spacing w:after="0"/>
    </w:pPr>
    <w:tblPr>
      <w:tblStyleRowBandSize w:val="1"/>
      <w:tblStyleColBandSize w:val="1"/>
      <w:tblBorders>
        <w:top w:val="single" w:sz="4" w:space="0" w:color="7B8196" w:themeColor="text1" w:themeTint="99"/>
        <w:left w:val="single" w:sz="4" w:space="0" w:color="7B8196" w:themeColor="text1" w:themeTint="99"/>
        <w:bottom w:val="single" w:sz="4" w:space="0" w:color="7B8196" w:themeColor="text1" w:themeTint="99"/>
        <w:right w:val="single" w:sz="4" w:space="0" w:color="7B8196" w:themeColor="text1" w:themeTint="99"/>
        <w:insideH w:val="single" w:sz="4" w:space="0" w:color="7B8196" w:themeColor="text1" w:themeTint="99"/>
        <w:insideV w:val="single" w:sz="4" w:space="0" w:color="7B8196" w:themeColor="text1" w:themeTint="99"/>
      </w:tblBorders>
    </w:tblPr>
    <w:tblStylePr w:type="firstRow">
      <w:rPr>
        <w:b/>
        <w:bCs/>
        <w:color w:val="FFFFFF" w:themeColor="background1"/>
      </w:rPr>
      <w:tblPr/>
      <w:tcPr>
        <w:tcBorders>
          <w:top w:val="single" w:sz="4" w:space="0" w:color="343741" w:themeColor="text1"/>
          <w:left w:val="single" w:sz="4" w:space="0" w:color="343741" w:themeColor="text1"/>
          <w:bottom w:val="single" w:sz="4" w:space="0" w:color="343741" w:themeColor="text1"/>
          <w:right w:val="single" w:sz="4" w:space="0" w:color="343741" w:themeColor="text1"/>
          <w:insideH w:val="nil"/>
          <w:insideV w:val="nil"/>
        </w:tcBorders>
        <w:shd w:val="clear" w:color="auto" w:fill="343741" w:themeFill="text1"/>
      </w:tcPr>
    </w:tblStylePr>
    <w:tblStylePr w:type="lastRow">
      <w:rPr>
        <w:b/>
        <w:bCs/>
      </w:rPr>
      <w:tblPr/>
      <w:tcPr>
        <w:tcBorders>
          <w:top w:val="double" w:sz="4" w:space="0" w:color="343741" w:themeColor="text1"/>
        </w:tcBorders>
      </w:tcPr>
    </w:tblStylePr>
    <w:tblStylePr w:type="firstCol">
      <w:rPr>
        <w:b/>
        <w:bCs/>
      </w:rPr>
    </w:tblStylePr>
    <w:tblStylePr w:type="lastCol">
      <w:rPr>
        <w:b/>
        <w:bCs/>
      </w:rPr>
    </w:tblStylePr>
    <w:tblStylePr w:type="band1Vert">
      <w:tblPr/>
      <w:tcPr>
        <w:shd w:val="clear" w:color="auto" w:fill="D3D5DC" w:themeFill="text1" w:themeFillTint="33"/>
      </w:tcPr>
    </w:tblStylePr>
    <w:tblStylePr w:type="band1Horz">
      <w:tblPr/>
      <w:tcPr>
        <w:shd w:val="clear" w:color="auto" w:fill="D3D5D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DF843C-7157-4CE9-98C1-32B395FAA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2941</Characters>
  <Application>Microsoft Office Word</Application>
  <DocSecurity>0</DocSecurity>
  <Lines>210</Lines>
  <Paragraphs>127</Paragraphs>
  <ScaleCrop>false</ScaleCrop>
  <HeadingPairs>
    <vt:vector size="2" baseType="variant">
      <vt:variant>
        <vt:lpstr>Title</vt:lpstr>
      </vt:variant>
      <vt:variant>
        <vt:i4>1</vt:i4>
      </vt:variant>
    </vt:vector>
  </HeadingPairs>
  <TitlesOfParts>
    <vt:vector size="1" baseType="lpstr">
      <vt:lpstr>Statement of Information held by the Department of Mining and Energy</vt:lpstr>
    </vt:vector>
  </TitlesOfParts>
  <Company>MINING AND ENERGY</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Information held by the Department of Mining and Energy</dc:title>
  <dc:creator>Department of Mining and Energy</dc:creator>
  <cp:lastModifiedBy>Vanessa Madrill</cp:lastModifiedBy>
  <cp:revision>2</cp:revision>
  <cp:lastPrinted>2025-10-29T01:45:00Z</cp:lastPrinted>
  <dcterms:created xsi:type="dcterms:W3CDTF">2025-10-29T02:22:00Z</dcterms:created>
  <dcterms:modified xsi:type="dcterms:W3CDTF">2025-10-29T02:22:00Z</dcterms:modified>
</cp:coreProperties>
</file>